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3497" w14:textId="2632547F" w:rsidR="00D0560B" w:rsidRPr="00620688" w:rsidRDefault="00D0560B" w:rsidP="002658D8">
      <w:pPr>
        <w:pStyle w:val="Heading1"/>
        <w:jc w:val="center"/>
        <w:rPr>
          <w:rFonts w:asciiTheme="minorHAnsi" w:eastAsia="Calibri" w:hAnsiTheme="minorHAnsi" w:cstheme="minorHAnsi"/>
          <w:color w:val="44546A" w:themeColor="text2"/>
          <w:sz w:val="22"/>
          <w:szCs w:val="22"/>
          <w:lang w:val="en-US"/>
        </w:rPr>
      </w:pPr>
      <w:bookmarkStart w:id="0" w:name="_Toc94157827"/>
      <w:r w:rsidRPr="00620688">
        <w:rPr>
          <w:rFonts w:asciiTheme="minorHAnsi" w:hAnsiTheme="minorHAnsi" w:cstheme="minorHAnsi"/>
          <w:sz w:val="22"/>
          <w:szCs w:val="22"/>
          <w:lang w:val="en-US"/>
        </w:rPr>
        <w:t>MANAGEMENT RESPONSE</w:t>
      </w:r>
      <w:bookmarkEnd w:id="0"/>
    </w:p>
    <w:p w14:paraId="456F5DA5" w14:textId="346351C6" w:rsidR="00D0560B" w:rsidRPr="00FE2E71" w:rsidRDefault="00FE2E71" w:rsidP="00FE2E71">
      <w:pPr>
        <w:jc w:val="center"/>
        <w:rPr>
          <w:rFonts w:cstheme="minorHAnsi"/>
          <w:b/>
          <w:bCs/>
          <w:lang w:val="en-US"/>
        </w:rPr>
      </w:pPr>
      <w:r w:rsidRPr="00FE2E71">
        <w:rPr>
          <w:rFonts w:cstheme="minorHAnsi"/>
          <w:b/>
          <w:bCs/>
          <w:lang w:val="en-US"/>
        </w:rPr>
        <w:t>Terminal Evaluation of the UNDP, GEF/SCCF and the Ministry of Agriculture and Environmental Protection of Turkmenistan joint Project “</w:t>
      </w:r>
      <w:r w:rsidRPr="00FE2E71">
        <w:rPr>
          <w:rFonts w:cstheme="minorHAnsi"/>
          <w:b/>
          <w:bCs/>
        </w:rPr>
        <w:t>Supporting climate resilient livelihoods in agricultural communities in drought-prone areas of Turkmenistan</w:t>
      </w:r>
      <w:r w:rsidRPr="00FE2E71">
        <w:rPr>
          <w:rFonts w:cstheme="minorHAnsi"/>
          <w:b/>
          <w:bCs/>
          <w:lang w:val="en-US"/>
        </w:rPr>
        <w:t>”</w:t>
      </w:r>
    </w:p>
    <w:p w14:paraId="5C686625" w14:textId="4CD52B32" w:rsidR="00D0560B" w:rsidRPr="00620688" w:rsidRDefault="00D0560B" w:rsidP="005B093C">
      <w:pPr>
        <w:widowControl w:val="0"/>
        <w:autoSpaceDE w:val="0"/>
        <w:autoSpaceDN w:val="0"/>
        <w:adjustRightInd w:val="0"/>
        <w:spacing w:after="120" w:line="240" w:lineRule="auto"/>
        <w:rPr>
          <w:rFonts w:cstheme="minorHAnsi"/>
        </w:rPr>
      </w:pPr>
      <w:r w:rsidRPr="00620688">
        <w:rPr>
          <w:rFonts w:cstheme="minorHAnsi"/>
          <w:b/>
          <w:bCs/>
        </w:rPr>
        <w:t xml:space="preserve">Project Title: </w:t>
      </w:r>
      <w:r w:rsidR="0020500A" w:rsidRPr="00620688">
        <w:rPr>
          <w:rFonts w:cstheme="minorHAnsi"/>
        </w:rPr>
        <w:t>Supporting climate resilient livelihoods in agricultural communities in drought-prone areas of Turkmenistan</w:t>
      </w:r>
    </w:p>
    <w:p w14:paraId="2C23862A" w14:textId="5E5CD71A" w:rsidR="00D0560B" w:rsidRPr="00620688" w:rsidRDefault="00D0560B" w:rsidP="005B093C">
      <w:pPr>
        <w:widowControl w:val="0"/>
        <w:autoSpaceDE w:val="0"/>
        <w:autoSpaceDN w:val="0"/>
        <w:adjustRightInd w:val="0"/>
        <w:spacing w:after="120" w:line="240" w:lineRule="auto"/>
        <w:rPr>
          <w:rFonts w:cstheme="minorHAnsi"/>
          <w:b/>
          <w:bCs/>
        </w:rPr>
      </w:pPr>
      <w:r w:rsidRPr="00620688">
        <w:rPr>
          <w:rFonts w:cstheme="minorHAnsi"/>
          <w:b/>
          <w:bCs/>
        </w:rPr>
        <w:t xml:space="preserve">UNDP PIMS ID: </w:t>
      </w:r>
      <w:r w:rsidR="0020500A" w:rsidRPr="00620688">
        <w:rPr>
          <w:rFonts w:cstheme="minorHAnsi"/>
        </w:rPr>
        <w:t>5459</w:t>
      </w:r>
    </w:p>
    <w:p w14:paraId="69DEC23C" w14:textId="4EBACBA3" w:rsidR="00D0560B" w:rsidRPr="00620688" w:rsidRDefault="00D0560B" w:rsidP="005B093C">
      <w:pPr>
        <w:widowControl w:val="0"/>
        <w:autoSpaceDE w:val="0"/>
        <w:autoSpaceDN w:val="0"/>
        <w:adjustRightInd w:val="0"/>
        <w:spacing w:after="120" w:line="240" w:lineRule="auto"/>
        <w:rPr>
          <w:rFonts w:cstheme="minorHAnsi"/>
          <w:b/>
          <w:bCs/>
        </w:rPr>
      </w:pPr>
      <w:r w:rsidRPr="00620688">
        <w:rPr>
          <w:rFonts w:cstheme="minorHAnsi"/>
          <w:b/>
          <w:bCs/>
        </w:rPr>
        <w:t>GEF ID:</w:t>
      </w:r>
      <w:r w:rsidR="0020500A" w:rsidRPr="00620688">
        <w:rPr>
          <w:rFonts w:cstheme="minorHAnsi"/>
          <w:b/>
          <w:bCs/>
        </w:rPr>
        <w:t xml:space="preserve"> </w:t>
      </w:r>
      <w:r w:rsidR="0020500A" w:rsidRPr="00620688">
        <w:rPr>
          <w:rFonts w:cstheme="minorHAnsi"/>
        </w:rPr>
        <w:t>6960</w:t>
      </w:r>
    </w:p>
    <w:p w14:paraId="21CE74DB" w14:textId="5AADE5CE" w:rsidR="00D0560B" w:rsidRPr="00620688" w:rsidRDefault="00D0560B" w:rsidP="005B093C">
      <w:pPr>
        <w:widowControl w:val="0"/>
        <w:autoSpaceDE w:val="0"/>
        <w:autoSpaceDN w:val="0"/>
        <w:adjustRightInd w:val="0"/>
        <w:spacing w:after="120" w:line="240" w:lineRule="auto"/>
        <w:rPr>
          <w:rFonts w:cstheme="minorHAnsi"/>
        </w:rPr>
      </w:pPr>
      <w:r w:rsidRPr="00620688">
        <w:rPr>
          <w:rFonts w:cstheme="minorHAnsi"/>
          <w:b/>
          <w:bCs/>
        </w:rPr>
        <w:t xml:space="preserve">Terminal Evaluation Completion Date: </w:t>
      </w:r>
      <w:r w:rsidR="0020500A" w:rsidRPr="00620688">
        <w:rPr>
          <w:rFonts w:cstheme="minorHAnsi"/>
          <w:b/>
          <w:bCs/>
        </w:rPr>
        <w:t xml:space="preserve"> </w:t>
      </w:r>
      <w:r w:rsidR="0020500A" w:rsidRPr="00620688">
        <w:rPr>
          <w:rFonts w:cstheme="minorHAnsi"/>
        </w:rPr>
        <w:t>20 February 2022</w:t>
      </w:r>
    </w:p>
    <w:p w14:paraId="0865AF1B" w14:textId="67EF2FBB" w:rsidR="00D0560B" w:rsidRPr="00620688" w:rsidRDefault="00D0560B" w:rsidP="005B093C">
      <w:pPr>
        <w:widowControl w:val="0"/>
        <w:autoSpaceDE w:val="0"/>
        <w:autoSpaceDN w:val="0"/>
        <w:adjustRightInd w:val="0"/>
        <w:spacing w:after="120" w:line="240" w:lineRule="auto"/>
        <w:rPr>
          <w:rFonts w:cstheme="minorHAnsi"/>
        </w:rPr>
      </w:pPr>
      <w:r w:rsidRPr="00620688">
        <w:rPr>
          <w:rFonts w:cstheme="minorHAnsi"/>
          <w:b/>
          <w:bCs/>
        </w:rPr>
        <w:t xml:space="preserve">Date of Issue of Management Response: </w:t>
      </w:r>
      <w:r w:rsidR="000E3C2A" w:rsidRPr="00620688">
        <w:rPr>
          <w:rFonts w:cstheme="minorHAnsi"/>
        </w:rPr>
        <w:t>31 March</w:t>
      </w:r>
      <w:r w:rsidR="000C2F63" w:rsidRPr="00620688">
        <w:rPr>
          <w:rFonts w:cstheme="minorHAnsi"/>
        </w:rPr>
        <w:t>, 2022</w:t>
      </w:r>
    </w:p>
    <w:p w14:paraId="2A706B16" w14:textId="6237139E" w:rsidR="00D0560B" w:rsidRPr="00620688" w:rsidRDefault="00D0560B" w:rsidP="005B093C">
      <w:pPr>
        <w:tabs>
          <w:tab w:val="left" w:pos="2880"/>
        </w:tabs>
        <w:spacing w:after="120" w:line="240" w:lineRule="auto"/>
        <w:ind w:left="2880" w:hanging="2880"/>
        <w:rPr>
          <w:rFonts w:cstheme="minorHAnsi"/>
          <w:i/>
        </w:rPr>
      </w:pPr>
      <w:r w:rsidRPr="00620688">
        <w:rPr>
          <w:rFonts w:cstheme="minorHAnsi"/>
          <w:b/>
          <w:bCs/>
        </w:rPr>
        <w:t xml:space="preserve">Prepared by: </w:t>
      </w:r>
      <w:r w:rsidR="0020500A" w:rsidRPr="00620688">
        <w:rPr>
          <w:rFonts w:cstheme="minorHAnsi"/>
        </w:rPr>
        <w:t xml:space="preserve">Amangul Ovezberdyyeva, SCRL project Manager  </w:t>
      </w:r>
      <w:r w:rsidRPr="00620688">
        <w:rPr>
          <w:rFonts w:cstheme="minorHAnsi"/>
        </w:rPr>
        <w:tab/>
      </w:r>
    </w:p>
    <w:p w14:paraId="78DA12EE" w14:textId="02F104EA" w:rsidR="00D0560B" w:rsidRPr="00620688" w:rsidRDefault="00D0560B" w:rsidP="005B093C">
      <w:pPr>
        <w:tabs>
          <w:tab w:val="left" w:pos="2880"/>
        </w:tabs>
        <w:spacing w:after="120" w:line="240" w:lineRule="auto"/>
        <w:ind w:left="2880" w:hanging="2880"/>
        <w:rPr>
          <w:rFonts w:cstheme="minorHAnsi"/>
          <w:b/>
          <w:bCs/>
        </w:rPr>
      </w:pPr>
      <w:r w:rsidRPr="00620688">
        <w:rPr>
          <w:rFonts w:cstheme="minorHAnsi"/>
          <w:b/>
          <w:bCs/>
        </w:rPr>
        <w:t xml:space="preserve">Cleared by: </w:t>
      </w:r>
      <w:r w:rsidR="0020500A" w:rsidRPr="00620688">
        <w:rPr>
          <w:rFonts w:cstheme="minorHAnsi"/>
        </w:rPr>
        <w:t xml:space="preserve">Farhat Orunov, UNDP CO Program Analyst for Energy and Environment Portfolio </w:t>
      </w:r>
      <w:r w:rsidRPr="00620688">
        <w:rPr>
          <w:rFonts w:cstheme="minorHAnsi"/>
        </w:rPr>
        <w:tab/>
      </w:r>
    </w:p>
    <w:tbl>
      <w:tblPr>
        <w:tblW w:w="1455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788"/>
        <w:gridCol w:w="72"/>
        <w:gridCol w:w="20"/>
        <w:gridCol w:w="8"/>
        <w:gridCol w:w="24"/>
        <w:gridCol w:w="990"/>
        <w:gridCol w:w="48"/>
        <w:gridCol w:w="10"/>
        <w:gridCol w:w="58"/>
        <w:gridCol w:w="1250"/>
        <w:gridCol w:w="10"/>
        <w:gridCol w:w="64"/>
        <w:gridCol w:w="48"/>
        <w:gridCol w:w="7"/>
        <w:gridCol w:w="61"/>
        <w:gridCol w:w="1139"/>
        <w:gridCol w:w="128"/>
        <w:gridCol w:w="57"/>
        <w:gridCol w:w="75"/>
        <w:gridCol w:w="217"/>
        <w:gridCol w:w="4419"/>
        <w:gridCol w:w="20"/>
        <w:gridCol w:w="44"/>
      </w:tblGrid>
      <w:tr w:rsidR="00D0560B" w:rsidRPr="00620688" w14:paraId="1EE968CA" w14:textId="77777777" w:rsidTr="00EC17DE">
        <w:trPr>
          <w:gridAfter w:val="1"/>
          <w:wAfter w:w="44" w:type="dxa"/>
          <w:trHeight w:val="242"/>
        </w:trPr>
        <w:tc>
          <w:tcPr>
            <w:tcW w:w="14513" w:type="dxa"/>
            <w:gridSpan w:val="22"/>
            <w:shd w:val="clear" w:color="auto" w:fill="F3F3F3"/>
          </w:tcPr>
          <w:p w14:paraId="10A93CC0" w14:textId="77777777" w:rsidR="00D0560B" w:rsidRPr="00620688" w:rsidRDefault="00D0560B" w:rsidP="00D0560B">
            <w:pPr>
              <w:jc w:val="both"/>
              <w:rPr>
                <w:rFonts w:cstheme="minorHAnsi"/>
                <w:b/>
                <w:bCs/>
                <w:i/>
                <w:iCs/>
                <w:lang w:val="en-US"/>
              </w:rPr>
            </w:pPr>
            <w:r w:rsidRPr="00620688">
              <w:rPr>
                <w:rFonts w:cstheme="minorHAnsi"/>
                <w:b/>
              </w:rPr>
              <w:t xml:space="preserve">Terminal Evaluation recommendation 1. </w:t>
            </w:r>
            <w:r w:rsidRPr="00620688">
              <w:rPr>
                <w:rFonts w:cstheme="minorHAnsi"/>
                <w:b/>
                <w:bCs/>
                <w:i/>
                <w:iCs/>
                <w:lang w:val="en-US"/>
              </w:rPr>
              <w:t>Completing Pending Activities</w:t>
            </w:r>
          </w:p>
          <w:p w14:paraId="478C466D" w14:textId="2F3F7A9B" w:rsidR="00D0560B" w:rsidRPr="00620688" w:rsidRDefault="00D0560B" w:rsidP="00D0560B">
            <w:pPr>
              <w:jc w:val="both"/>
              <w:rPr>
                <w:rFonts w:cstheme="minorHAnsi"/>
                <w:lang w:val="en-US"/>
              </w:rPr>
            </w:pPr>
            <w:r w:rsidRPr="00620688">
              <w:rPr>
                <w:rFonts w:cstheme="minorHAnsi"/>
                <w:lang w:val="en-US"/>
              </w:rPr>
              <w:t xml:space="preserve">As a first and urgent step, the Project Team and </w:t>
            </w:r>
            <w:r w:rsidR="000E3C2A" w:rsidRPr="00620688">
              <w:rPr>
                <w:rFonts w:cstheme="minorHAnsi"/>
                <w:lang w:val="en-US"/>
              </w:rPr>
              <w:t>the Ministry of Agriculture and Environmental Protection (</w:t>
            </w:r>
            <w:r w:rsidRPr="00620688">
              <w:rPr>
                <w:rFonts w:cstheme="minorHAnsi"/>
                <w:lang w:val="en-US"/>
              </w:rPr>
              <w:t>MAEP</w:t>
            </w:r>
            <w:r w:rsidR="000E3C2A" w:rsidRPr="00620688">
              <w:rPr>
                <w:rFonts w:cstheme="minorHAnsi"/>
                <w:lang w:val="en-US"/>
              </w:rPr>
              <w:t>)</w:t>
            </w:r>
            <w:r w:rsidRPr="00620688">
              <w:rPr>
                <w:rFonts w:cstheme="minorHAnsi"/>
                <w:lang w:val="en-US"/>
              </w:rPr>
              <w:t xml:space="preserve"> should complete all pending activities before the closure of the project. Key priorities that require the project’s attention in the next few weeks are the following:</w:t>
            </w:r>
          </w:p>
          <w:p w14:paraId="3EBF57AA" w14:textId="77777777" w:rsidR="00D0560B" w:rsidRPr="00620688" w:rsidRDefault="00D0560B" w:rsidP="00D0560B">
            <w:pPr>
              <w:pStyle w:val="ListParagraph"/>
              <w:numPr>
                <w:ilvl w:val="0"/>
                <w:numId w:val="1"/>
              </w:numPr>
              <w:spacing w:after="0" w:line="240" w:lineRule="auto"/>
              <w:jc w:val="both"/>
              <w:rPr>
                <w:rFonts w:cstheme="minorHAnsi"/>
                <w:lang w:val="en-US"/>
              </w:rPr>
            </w:pPr>
            <w:r w:rsidRPr="00620688">
              <w:rPr>
                <w:rFonts w:cstheme="minorHAnsi"/>
                <w:lang w:val="en-US"/>
              </w:rPr>
              <w:t>The project should finalize the preparation of the “Concept note on modelling the AEZs”.</w:t>
            </w:r>
          </w:p>
          <w:p w14:paraId="4D92E90D" w14:textId="77777777" w:rsidR="00D0560B" w:rsidRPr="00620688" w:rsidRDefault="00D0560B" w:rsidP="00D0560B">
            <w:pPr>
              <w:pStyle w:val="ListParagraph"/>
              <w:numPr>
                <w:ilvl w:val="0"/>
                <w:numId w:val="1"/>
              </w:numPr>
              <w:spacing w:after="0" w:line="240" w:lineRule="auto"/>
              <w:jc w:val="both"/>
              <w:rPr>
                <w:rFonts w:cstheme="minorHAnsi"/>
                <w:lang w:val="en-US"/>
              </w:rPr>
            </w:pPr>
            <w:r w:rsidRPr="00620688">
              <w:rPr>
                <w:rFonts w:cstheme="minorHAnsi"/>
                <w:lang w:val="en-US"/>
              </w:rPr>
              <w:t>The project should focus on obtaining from the Government the adoption of the MRV road map.</w:t>
            </w:r>
          </w:p>
          <w:p w14:paraId="18037ED4" w14:textId="77777777" w:rsidR="00D0560B" w:rsidRPr="00620688" w:rsidRDefault="00D0560B" w:rsidP="00D0560B">
            <w:pPr>
              <w:pStyle w:val="ListParagraph"/>
              <w:numPr>
                <w:ilvl w:val="0"/>
                <w:numId w:val="1"/>
              </w:numPr>
              <w:spacing w:after="0" w:line="240" w:lineRule="auto"/>
              <w:jc w:val="both"/>
              <w:rPr>
                <w:rFonts w:cstheme="minorHAnsi"/>
                <w:lang w:val="en-US"/>
              </w:rPr>
            </w:pPr>
            <w:r w:rsidRPr="00620688">
              <w:rPr>
                <w:rFonts w:cstheme="minorHAnsi"/>
                <w:lang w:val="en-US"/>
              </w:rPr>
              <w:t>Finalize the conceptual methodological guidelines on the use of gender-disaggregated data in adaptation planning and budgeting for water and agriculture.</w:t>
            </w:r>
          </w:p>
          <w:p w14:paraId="6B42A857" w14:textId="30C5B408" w:rsidR="00D0560B" w:rsidRPr="00620688" w:rsidRDefault="00D0560B" w:rsidP="00D0560B">
            <w:pPr>
              <w:pStyle w:val="ListParagraph"/>
              <w:numPr>
                <w:ilvl w:val="0"/>
                <w:numId w:val="1"/>
              </w:numPr>
              <w:spacing w:after="0" w:line="240" w:lineRule="auto"/>
              <w:jc w:val="both"/>
              <w:rPr>
                <w:rFonts w:cstheme="minorHAnsi"/>
                <w:lang w:val="en-US"/>
              </w:rPr>
            </w:pPr>
            <w:r w:rsidRPr="00620688">
              <w:rPr>
                <w:rFonts w:cstheme="minorHAnsi"/>
                <w:lang w:val="en-US"/>
              </w:rPr>
              <w:t>Finalize the AIC Presentation Package.</w:t>
            </w:r>
          </w:p>
          <w:p w14:paraId="2B987697" w14:textId="77777777" w:rsidR="000C2F63" w:rsidRPr="00620688" w:rsidRDefault="000C2F63" w:rsidP="000C2F63">
            <w:pPr>
              <w:pStyle w:val="ListParagraph"/>
              <w:spacing w:after="0" w:line="240" w:lineRule="auto"/>
              <w:ind w:left="360"/>
              <w:jc w:val="both"/>
              <w:rPr>
                <w:rFonts w:cstheme="minorHAnsi"/>
                <w:lang w:val="en-US"/>
              </w:rPr>
            </w:pPr>
          </w:p>
          <w:p w14:paraId="0655A6B7" w14:textId="35F91C76" w:rsidR="000C2F63" w:rsidRPr="00620688" w:rsidRDefault="000C2F63" w:rsidP="000C2F63">
            <w:pPr>
              <w:jc w:val="both"/>
              <w:rPr>
                <w:rFonts w:cstheme="minorHAnsi"/>
                <w:lang w:val="en-US"/>
              </w:rPr>
            </w:pPr>
            <w:r w:rsidRPr="00620688">
              <w:rPr>
                <w:rFonts w:cstheme="minorHAnsi"/>
                <w:lang w:val="en-US"/>
              </w:rPr>
              <w:t>In the last Project Board meeting, project stakeholders should take note of all pending tasks and activities and make a decision on what is feasible to complete by the time of the project’s closure. Whatever activities will not be possible to complete by that time should be handed over for completion to MAEP with a clear action plan that outlined the steps that are necessary for their completion.</w:t>
            </w:r>
          </w:p>
        </w:tc>
      </w:tr>
      <w:tr w:rsidR="00D0560B" w:rsidRPr="00620688" w14:paraId="0B1A38C9" w14:textId="77777777" w:rsidTr="00EC17DE">
        <w:trPr>
          <w:gridAfter w:val="1"/>
          <w:wAfter w:w="44" w:type="dxa"/>
          <w:trHeight w:val="255"/>
        </w:trPr>
        <w:tc>
          <w:tcPr>
            <w:tcW w:w="14513" w:type="dxa"/>
            <w:gridSpan w:val="22"/>
            <w:shd w:val="clear" w:color="auto" w:fill="F3F3F3"/>
          </w:tcPr>
          <w:p w14:paraId="7B65CA99" w14:textId="442CD130" w:rsidR="00D0560B" w:rsidRPr="00620688" w:rsidRDefault="00D0560B" w:rsidP="00FE3C50">
            <w:pPr>
              <w:tabs>
                <w:tab w:val="left" w:pos="1080"/>
              </w:tabs>
              <w:jc w:val="both"/>
              <w:rPr>
                <w:rFonts w:cstheme="minorHAnsi"/>
              </w:rPr>
            </w:pPr>
            <w:r w:rsidRPr="00620688">
              <w:rPr>
                <w:rFonts w:cstheme="minorHAnsi"/>
                <w:b/>
              </w:rPr>
              <w:lastRenderedPageBreak/>
              <w:t>Management response:</w:t>
            </w:r>
            <w:r w:rsidRPr="00620688">
              <w:rPr>
                <w:rStyle w:val="FootnoteReference"/>
                <w:rFonts w:cstheme="minorHAnsi"/>
                <w:b/>
              </w:rPr>
              <w:footnoteReference w:id="1"/>
            </w:r>
            <w:r w:rsidR="00451CC1" w:rsidRPr="00620688">
              <w:rPr>
                <w:rFonts w:cstheme="minorHAnsi"/>
                <w:b/>
              </w:rPr>
              <w:t xml:space="preserve"> </w:t>
            </w:r>
            <w:r w:rsidR="00451CC1" w:rsidRPr="00620688">
              <w:rPr>
                <w:rFonts w:cstheme="minorHAnsi"/>
                <w:lang w:val="en-US"/>
              </w:rPr>
              <w:t xml:space="preserve">The recommendation is accepted and addressed through the </w:t>
            </w:r>
            <w:r w:rsidR="00CA5825" w:rsidRPr="00620688">
              <w:rPr>
                <w:rFonts w:cstheme="minorHAnsi"/>
                <w:lang w:val="en-US"/>
              </w:rPr>
              <w:t xml:space="preserve">key </w:t>
            </w:r>
            <w:r w:rsidR="00451CC1" w:rsidRPr="00620688">
              <w:rPr>
                <w:rFonts w:cstheme="minorHAnsi"/>
                <w:lang w:val="en-US"/>
              </w:rPr>
              <w:t>actions below</w:t>
            </w:r>
            <w:r w:rsidR="00CA5825" w:rsidRPr="00620688">
              <w:rPr>
                <w:rFonts w:cstheme="minorHAnsi"/>
                <w:lang w:val="en-US"/>
              </w:rPr>
              <w:t>:</w:t>
            </w:r>
            <w:r w:rsidR="00BA5E27" w:rsidRPr="00620688">
              <w:rPr>
                <w:rFonts w:cstheme="minorHAnsi"/>
                <w:lang w:val="en-US"/>
              </w:rPr>
              <w:t xml:space="preserve"> UNDP CO will ensure that the Project team finalizes all remaining project activities, including capturing the results by the end of the project to be presented to all national partners and other stakeholders during the final Project Board in March 2022.</w:t>
            </w:r>
          </w:p>
        </w:tc>
      </w:tr>
      <w:tr w:rsidR="000E3C2A" w:rsidRPr="00620688" w14:paraId="684B31CF" w14:textId="77777777" w:rsidTr="00EC17DE">
        <w:trPr>
          <w:gridAfter w:val="2"/>
          <w:wAfter w:w="64" w:type="dxa"/>
          <w:trHeight w:val="219"/>
        </w:trPr>
        <w:tc>
          <w:tcPr>
            <w:tcW w:w="5888" w:type="dxa"/>
            <w:gridSpan w:val="4"/>
            <w:vMerge w:val="restart"/>
            <w:shd w:val="clear" w:color="auto" w:fill="F3F3F3"/>
          </w:tcPr>
          <w:p w14:paraId="08012B66" w14:textId="77777777" w:rsidR="00D0560B" w:rsidRPr="00620688" w:rsidRDefault="00D0560B" w:rsidP="00662178">
            <w:pPr>
              <w:tabs>
                <w:tab w:val="left" w:pos="1080"/>
              </w:tabs>
              <w:spacing w:line="240" w:lineRule="auto"/>
              <w:jc w:val="center"/>
              <w:rPr>
                <w:rFonts w:cstheme="minorHAnsi"/>
                <w:b/>
              </w:rPr>
            </w:pPr>
            <w:r w:rsidRPr="00620688">
              <w:rPr>
                <w:rFonts w:cstheme="minorHAnsi"/>
                <w:b/>
              </w:rPr>
              <w:t>Key action(s)</w:t>
            </w:r>
          </w:p>
        </w:tc>
        <w:tc>
          <w:tcPr>
            <w:tcW w:w="1072" w:type="dxa"/>
            <w:gridSpan w:val="4"/>
            <w:vMerge w:val="restart"/>
            <w:shd w:val="clear" w:color="auto" w:fill="F3F3F3"/>
          </w:tcPr>
          <w:p w14:paraId="2FEA9A42" w14:textId="77777777" w:rsidR="00D0560B" w:rsidRPr="00620688" w:rsidRDefault="00D0560B" w:rsidP="00662178">
            <w:pPr>
              <w:tabs>
                <w:tab w:val="left" w:pos="1080"/>
              </w:tabs>
              <w:spacing w:line="240" w:lineRule="auto"/>
              <w:jc w:val="center"/>
              <w:rPr>
                <w:rFonts w:cstheme="minorHAnsi"/>
                <w:b/>
              </w:rPr>
            </w:pPr>
            <w:r w:rsidRPr="00620688">
              <w:rPr>
                <w:rFonts w:cstheme="minorHAnsi"/>
                <w:b/>
              </w:rPr>
              <w:t>Time frame</w:t>
            </w:r>
          </w:p>
        </w:tc>
        <w:tc>
          <w:tcPr>
            <w:tcW w:w="1437" w:type="dxa"/>
            <w:gridSpan w:val="6"/>
            <w:vMerge w:val="restart"/>
            <w:shd w:val="clear" w:color="auto" w:fill="F3F3F3"/>
          </w:tcPr>
          <w:p w14:paraId="562CA447" w14:textId="77777777" w:rsidR="00D0560B" w:rsidRPr="00620688" w:rsidRDefault="00D0560B" w:rsidP="00662178">
            <w:pPr>
              <w:tabs>
                <w:tab w:val="left" w:pos="1080"/>
              </w:tabs>
              <w:spacing w:line="240" w:lineRule="auto"/>
              <w:jc w:val="center"/>
              <w:rPr>
                <w:rFonts w:cstheme="minorHAnsi"/>
                <w:b/>
              </w:rPr>
            </w:pPr>
            <w:r w:rsidRPr="00620688">
              <w:rPr>
                <w:rFonts w:cstheme="minorHAnsi"/>
                <w:b/>
              </w:rPr>
              <w:t>Responsible unit(s)</w:t>
            </w:r>
          </w:p>
        </w:tc>
        <w:tc>
          <w:tcPr>
            <w:tcW w:w="6096" w:type="dxa"/>
            <w:gridSpan w:val="7"/>
            <w:shd w:val="clear" w:color="auto" w:fill="F3F3F3"/>
          </w:tcPr>
          <w:p w14:paraId="09A70A84" w14:textId="77777777" w:rsidR="00D0560B" w:rsidRPr="00620688" w:rsidRDefault="00D0560B" w:rsidP="00662178">
            <w:pPr>
              <w:tabs>
                <w:tab w:val="left" w:pos="1080"/>
              </w:tabs>
              <w:spacing w:line="240" w:lineRule="auto"/>
              <w:jc w:val="center"/>
              <w:rPr>
                <w:rFonts w:cstheme="minorHAnsi"/>
                <w:b/>
              </w:rPr>
            </w:pPr>
            <w:r w:rsidRPr="00620688">
              <w:rPr>
                <w:rFonts w:cstheme="minorHAnsi"/>
                <w:b/>
              </w:rPr>
              <w:t>Tracking</w:t>
            </w:r>
            <w:r w:rsidRPr="00620688">
              <w:rPr>
                <w:rStyle w:val="FootnoteReference"/>
                <w:rFonts w:cstheme="minorHAnsi"/>
                <w:b/>
              </w:rPr>
              <w:footnoteReference w:id="2"/>
            </w:r>
          </w:p>
        </w:tc>
      </w:tr>
      <w:tr w:rsidR="000E3C2A" w:rsidRPr="00620688" w14:paraId="1B4751E0" w14:textId="77777777" w:rsidTr="00EC17DE">
        <w:trPr>
          <w:gridAfter w:val="2"/>
          <w:wAfter w:w="64" w:type="dxa"/>
          <w:trHeight w:val="135"/>
        </w:trPr>
        <w:tc>
          <w:tcPr>
            <w:tcW w:w="5888" w:type="dxa"/>
            <w:gridSpan w:val="4"/>
            <w:vMerge/>
            <w:shd w:val="clear" w:color="auto" w:fill="F3F3F3"/>
          </w:tcPr>
          <w:p w14:paraId="27C2B375" w14:textId="77777777" w:rsidR="00D0560B" w:rsidRPr="00620688" w:rsidRDefault="00D0560B" w:rsidP="00662178">
            <w:pPr>
              <w:tabs>
                <w:tab w:val="left" w:pos="1080"/>
              </w:tabs>
              <w:spacing w:line="240" w:lineRule="auto"/>
              <w:rPr>
                <w:rFonts w:cstheme="minorHAnsi"/>
              </w:rPr>
            </w:pPr>
          </w:p>
        </w:tc>
        <w:tc>
          <w:tcPr>
            <w:tcW w:w="1072" w:type="dxa"/>
            <w:gridSpan w:val="4"/>
            <w:vMerge/>
            <w:shd w:val="clear" w:color="auto" w:fill="F3F3F3"/>
          </w:tcPr>
          <w:p w14:paraId="736B6080" w14:textId="77777777" w:rsidR="00D0560B" w:rsidRPr="00620688" w:rsidRDefault="00D0560B" w:rsidP="00662178">
            <w:pPr>
              <w:tabs>
                <w:tab w:val="left" w:pos="1080"/>
              </w:tabs>
              <w:spacing w:line="240" w:lineRule="auto"/>
              <w:rPr>
                <w:rFonts w:cstheme="minorHAnsi"/>
                <w:b/>
              </w:rPr>
            </w:pPr>
          </w:p>
        </w:tc>
        <w:tc>
          <w:tcPr>
            <w:tcW w:w="1437" w:type="dxa"/>
            <w:gridSpan w:val="6"/>
            <w:vMerge/>
            <w:shd w:val="clear" w:color="auto" w:fill="F3F3F3"/>
          </w:tcPr>
          <w:p w14:paraId="7961F5E6" w14:textId="77777777" w:rsidR="00D0560B" w:rsidRPr="00620688" w:rsidRDefault="00D0560B" w:rsidP="00662178">
            <w:pPr>
              <w:tabs>
                <w:tab w:val="left" w:pos="1080"/>
              </w:tabs>
              <w:spacing w:line="240" w:lineRule="auto"/>
              <w:rPr>
                <w:rFonts w:cstheme="minorHAnsi"/>
                <w:b/>
              </w:rPr>
            </w:pPr>
          </w:p>
        </w:tc>
        <w:tc>
          <w:tcPr>
            <w:tcW w:w="1200" w:type="dxa"/>
            <w:gridSpan w:val="2"/>
          </w:tcPr>
          <w:p w14:paraId="3E236BDF" w14:textId="0143A118" w:rsidR="00D0560B" w:rsidRPr="00620688" w:rsidRDefault="00451CC1" w:rsidP="00662178">
            <w:pPr>
              <w:tabs>
                <w:tab w:val="left" w:pos="1080"/>
              </w:tabs>
              <w:spacing w:line="240" w:lineRule="auto"/>
              <w:jc w:val="center"/>
              <w:rPr>
                <w:rFonts w:cstheme="minorHAnsi"/>
                <w:b/>
              </w:rPr>
            </w:pPr>
            <w:r w:rsidRPr="00620688">
              <w:rPr>
                <w:rFonts w:cstheme="minorHAnsi"/>
                <w:b/>
              </w:rPr>
              <w:t>Status</w:t>
            </w:r>
            <w:r w:rsidRPr="00620688">
              <w:rPr>
                <w:rStyle w:val="FootnoteReference"/>
                <w:rFonts w:cstheme="minorHAnsi"/>
                <w:b/>
              </w:rPr>
              <w:footnoteReference w:id="3"/>
            </w:r>
          </w:p>
        </w:tc>
        <w:tc>
          <w:tcPr>
            <w:tcW w:w="4896" w:type="dxa"/>
            <w:gridSpan w:val="5"/>
          </w:tcPr>
          <w:p w14:paraId="6FEE1277" w14:textId="65441E19" w:rsidR="00D0560B" w:rsidRPr="00620688" w:rsidRDefault="00451CC1" w:rsidP="00662178">
            <w:pPr>
              <w:tabs>
                <w:tab w:val="left" w:pos="1080"/>
              </w:tabs>
              <w:spacing w:line="240" w:lineRule="auto"/>
              <w:jc w:val="center"/>
              <w:rPr>
                <w:rFonts w:cstheme="minorHAnsi"/>
                <w:b/>
              </w:rPr>
            </w:pPr>
            <w:r w:rsidRPr="00620688">
              <w:rPr>
                <w:rFonts w:cstheme="minorHAnsi"/>
                <w:b/>
              </w:rPr>
              <w:t xml:space="preserve">Comments </w:t>
            </w:r>
          </w:p>
        </w:tc>
      </w:tr>
      <w:tr w:rsidR="00E072B0" w:rsidRPr="00620688" w14:paraId="672133F1" w14:textId="77777777" w:rsidTr="00EC17DE">
        <w:trPr>
          <w:gridAfter w:val="2"/>
          <w:wAfter w:w="64" w:type="dxa"/>
          <w:trHeight w:val="813"/>
        </w:trPr>
        <w:tc>
          <w:tcPr>
            <w:tcW w:w="5888" w:type="dxa"/>
            <w:gridSpan w:val="4"/>
          </w:tcPr>
          <w:p w14:paraId="1A1CAE8E" w14:textId="1335ECA6" w:rsidR="00D0560B" w:rsidRPr="00620688" w:rsidRDefault="00D0560B" w:rsidP="00662178">
            <w:pPr>
              <w:spacing w:after="0" w:line="240" w:lineRule="auto"/>
              <w:jc w:val="both"/>
              <w:rPr>
                <w:rFonts w:cstheme="minorHAnsi"/>
                <w:lang w:val="en-US"/>
              </w:rPr>
            </w:pPr>
            <w:r w:rsidRPr="00620688">
              <w:rPr>
                <w:rFonts w:cstheme="minorHAnsi"/>
              </w:rPr>
              <w:t xml:space="preserve">1.1 </w:t>
            </w:r>
            <w:r w:rsidR="00451CC1" w:rsidRPr="00620688">
              <w:rPr>
                <w:rFonts w:cstheme="minorHAnsi"/>
                <w:lang w:val="en-US"/>
              </w:rPr>
              <w:t xml:space="preserve">The project team </w:t>
            </w:r>
            <w:r w:rsidR="00923BD5">
              <w:rPr>
                <w:rFonts w:cstheme="minorHAnsi"/>
                <w:lang w:val="en-US"/>
              </w:rPr>
              <w:t xml:space="preserve">to </w:t>
            </w:r>
            <w:r w:rsidRPr="00620688">
              <w:rPr>
                <w:rFonts w:cstheme="minorHAnsi"/>
                <w:lang w:val="en-US"/>
              </w:rPr>
              <w:t>finalize the preparation of the “Concept note on modelling the AEZs”</w:t>
            </w:r>
            <w:r w:rsidR="00451CC1" w:rsidRPr="00620688">
              <w:rPr>
                <w:rFonts w:cstheme="minorHAnsi"/>
                <w:lang w:val="en-US"/>
              </w:rPr>
              <w:t xml:space="preserve"> based on the materials provided by international consultant </w:t>
            </w:r>
          </w:p>
        </w:tc>
        <w:tc>
          <w:tcPr>
            <w:tcW w:w="1072" w:type="dxa"/>
            <w:gridSpan w:val="4"/>
          </w:tcPr>
          <w:p w14:paraId="59614F8E" w14:textId="01DA77AA" w:rsidR="00D0560B" w:rsidRPr="00620688" w:rsidRDefault="000E3C2A" w:rsidP="00662178">
            <w:pPr>
              <w:tabs>
                <w:tab w:val="left" w:pos="1080"/>
              </w:tabs>
              <w:spacing w:line="240" w:lineRule="auto"/>
              <w:rPr>
                <w:rFonts w:cstheme="minorHAnsi"/>
              </w:rPr>
            </w:pPr>
            <w:r w:rsidRPr="00620688">
              <w:rPr>
                <w:rFonts w:cstheme="minorHAnsi"/>
                <w:lang w:val="en-US"/>
              </w:rPr>
              <w:t>31 March 2022</w:t>
            </w:r>
          </w:p>
        </w:tc>
        <w:tc>
          <w:tcPr>
            <w:tcW w:w="1437" w:type="dxa"/>
            <w:gridSpan w:val="6"/>
          </w:tcPr>
          <w:p w14:paraId="0535EFDA" w14:textId="3EAAA603" w:rsidR="00D0560B" w:rsidRPr="00620688" w:rsidRDefault="00DB009F" w:rsidP="00662178">
            <w:pPr>
              <w:tabs>
                <w:tab w:val="left" w:pos="1080"/>
              </w:tabs>
              <w:spacing w:line="240" w:lineRule="auto"/>
              <w:rPr>
                <w:rFonts w:cstheme="minorHAnsi"/>
              </w:rPr>
            </w:pPr>
            <w:r w:rsidRPr="00620688">
              <w:rPr>
                <w:rFonts w:cstheme="minorHAnsi"/>
                <w:lang w:val="en-US"/>
              </w:rPr>
              <w:t>SCRL Project Team &amp; MAEP</w:t>
            </w:r>
          </w:p>
        </w:tc>
        <w:tc>
          <w:tcPr>
            <w:tcW w:w="1200" w:type="dxa"/>
            <w:gridSpan w:val="2"/>
          </w:tcPr>
          <w:p w14:paraId="013F3BF1" w14:textId="2CF2044E" w:rsidR="00D0560B" w:rsidRPr="00620688" w:rsidRDefault="003D216C" w:rsidP="00662178">
            <w:pPr>
              <w:tabs>
                <w:tab w:val="left" w:pos="1080"/>
              </w:tabs>
              <w:spacing w:line="240" w:lineRule="auto"/>
              <w:rPr>
                <w:rFonts w:cstheme="minorHAnsi"/>
              </w:rPr>
            </w:pPr>
            <w:r w:rsidRPr="00620688">
              <w:rPr>
                <w:rFonts w:cstheme="minorHAnsi"/>
                <w:lang w:val="en-US"/>
              </w:rPr>
              <w:t xml:space="preserve">Completed </w:t>
            </w:r>
            <w:r w:rsidR="00451CC1" w:rsidRPr="00620688">
              <w:rPr>
                <w:rFonts w:cstheme="minorHAnsi"/>
              </w:rPr>
              <w:t xml:space="preserve"> </w:t>
            </w:r>
          </w:p>
        </w:tc>
        <w:tc>
          <w:tcPr>
            <w:tcW w:w="4896" w:type="dxa"/>
            <w:gridSpan w:val="5"/>
          </w:tcPr>
          <w:p w14:paraId="71EB3370" w14:textId="283134DE" w:rsidR="00D0560B" w:rsidRPr="00620688" w:rsidRDefault="00415181" w:rsidP="00662178">
            <w:pPr>
              <w:tabs>
                <w:tab w:val="left" w:pos="1080"/>
              </w:tabs>
              <w:spacing w:after="120" w:line="240" w:lineRule="auto"/>
              <w:rPr>
                <w:rFonts w:cstheme="minorHAnsi"/>
                <w:lang w:val="en-US"/>
              </w:rPr>
            </w:pPr>
            <w:r w:rsidRPr="00620688">
              <w:rPr>
                <w:rFonts w:cstheme="minorHAnsi"/>
                <w:lang w:val="en-US"/>
              </w:rPr>
              <w:t xml:space="preserve">The “Concept </w:t>
            </w:r>
            <w:r w:rsidR="00662178" w:rsidRPr="00620688">
              <w:rPr>
                <w:rFonts w:cstheme="minorHAnsi"/>
                <w:lang w:val="en-US"/>
              </w:rPr>
              <w:t xml:space="preserve">Note </w:t>
            </w:r>
            <w:r w:rsidRPr="00620688">
              <w:rPr>
                <w:rFonts w:cstheme="minorHAnsi"/>
                <w:lang w:val="en-US"/>
              </w:rPr>
              <w:t xml:space="preserve">on </w:t>
            </w:r>
            <w:r w:rsidR="00662178" w:rsidRPr="00620688">
              <w:rPr>
                <w:rFonts w:cstheme="minorHAnsi"/>
                <w:lang w:val="en-US"/>
              </w:rPr>
              <w:t xml:space="preserve">Modelling </w:t>
            </w:r>
            <w:r w:rsidRPr="00620688">
              <w:rPr>
                <w:rFonts w:cstheme="minorHAnsi"/>
                <w:lang w:val="en-US"/>
              </w:rPr>
              <w:t xml:space="preserve">the AEZ” is prepared based on the materials </w:t>
            </w:r>
            <w:r w:rsidR="00662178" w:rsidRPr="00620688">
              <w:rPr>
                <w:rFonts w:cstheme="minorHAnsi"/>
                <w:lang w:val="en-US"/>
              </w:rPr>
              <w:t>of</w:t>
            </w:r>
            <w:r w:rsidR="00662178" w:rsidRPr="00620688">
              <w:rPr>
                <w:rFonts w:cstheme="minorHAnsi"/>
                <w:lang w:val="en-GB"/>
              </w:rPr>
              <w:t xml:space="preserve"> </w:t>
            </w:r>
            <w:r w:rsidRPr="00620688">
              <w:rPr>
                <w:rFonts w:cstheme="minorHAnsi"/>
                <w:lang w:val="en-US"/>
              </w:rPr>
              <w:t>the international consultant on AEZ modelling. The finalization of the Concept Note was delayed due to the end of the year reporting</w:t>
            </w:r>
            <w:r w:rsidR="000E3C2A" w:rsidRPr="00620688">
              <w:rPr>
                <w:rFonts w:cstheme="minorHAnsi"/>
                <w:lang w:val="en-US"/>
              </w:rPr>
              <w:t xml:space="preserve">. </w:t>
            </w:r>
            <w:r w:rsidRPr="00620688">
              <w:rPr>
                <w:rFonts w:cstheme="minorHAnsi"/>
                <w:lang w:val="en-US"/>
              </w:rPr>
              <w:t xml:space="preserve">However, the drafting </w:t>
            </w:r>
            <w:r w:rsidR="003D216C" w:rsidRPr="00620688">
              <w:rPr>
                <w:rFonts w:cstheme="minorHAnsi"/>
                <w:lang w:val="en-US"/>
              </w:rPr>
              <w:t xml:space="preserve">activities were </w:t>
            </w:r>
            <w:r w:rsidRPr="00620688">
              <w:rPr>
                <w:rFonts w:cstheme="minorHAnsi"/>
                <w:lang w:val="en-US"/>
              </w:rPr>
              <w:t>complet</w:t>
            </w:r>
            <w:r w:rsidR="003D216C" w:rsidRPr="00620688">
              <w:rPr>
                <w:rFonts w:cstheme="minorHAnsi"/>
                <w:lang w:val="en-US"/>
              </w:rPr>
              <w:t xml:space="preserve">ed at the </w:t>
            </w:r>
            <w:r w:rsidRPr="00620688">
              <w:rPr>
                <w:rFonts w:cstheme="minorHAnsi"/>
                <w:lang w:val="en-US"/>
              </w:rPr>
              <w:t xml:space="preserve">end of </w:t>
            </w:r>
            <w:r w:rsidR="00D81857" w:rsidRPr="00620688">
              <w:rPr>
                <w:rFonts w:cstheme="minorHAnsi"/>
                <w:lang w:val="en-US"/>
              </w:rPr>
              <w:t>February</w:t>
            </w:r>
            <w:r w:rsidR="00662178" w:rsidRPr="00620688">
              <w:rPr>
                <w:rFonts w:cstheme="minorHAnsi"/>
                <w:lang w:val="en-US"/>
              </w:rPr>
              <w:t xml:space="preserve"> 2022</w:t>
            </w:r>
            <w:r w:rsidRPr="00620688">
              <w:rPr>
                <w:rFonts w:cstheme="minorHAnsi"/>
                <w:lang w:val="en-US"/>
              </w:rPr>
              <w:t xml:space="preserve">, </w:t>
            </w:r>
            <w:r w:rsidR="003D216C" w:rsidRPr="00620688">
              <w:rPr>
                <w:rFonts w:cstheme="minorHAnsi"/>
                <w:lang w:val="en-US"/>
              </w:rPr>
              <w:t>and</w:t>
            </w:r>
            <w:r w:rsidR="00662178" w:rsidRPr="00620688">
              <w:rPr>
                <w:rFonts w:cstheme="minorHAnsi"/>
                <w:lang w:val="en-GB"/>
              </w:rPr>
              <w:t xml:space="preserve"> </w:t>
            </w:r>
            <w:r w:rsidR="00662178" w:rsidRPr="00620688">
              <w:rPr>
                <w:rFonts w:cstheme="minorHAnsi"/>
                <w:lang w:val="tk-TM"/>
              </w:rPr>
              <w:t xml:space="preserve">on </w:t>
            </w:r>
            <w:r w:rsidR="00662178" w:rsidRPr="00620688">
              <w:rPr>
                <w:rFonts w:cstheme="minorHAnsi"/>
                <w:lang w:val="en-US"/>
              </w:rPr>
              <w:t>March</w:t>
            </w:r>
            <w:r w:rsidR="003D216C" w:rsidRPr="00620688">
              <w:rPr>
                <w:rFonts w:cstheme="minorHAnsi"/>
                <w:lang w:val="en-US"/>
              </w:rPr>
              <w:t xml:space="preserve"> </w:t>
            </w:r>
            <w:r w:rsidRPr="00620688">
              <w:rPr>
                <w:rFonts w:cstheme="minorHAnsi"/>
                <w:lang w:val="en-US"/>
              </w:rPr>
              <w:t xml:space="preserve">the Concept Note </w:t>
            </w:r>
            <w:r w:rsidR="003D216C" w:rsidRPr="00620688">
              <w:rPr>
                <w:rFonts w:cstheme="minorHAnsi"/>
                <w:lang w:val="en-US"/>
              </w:rPr>
              <w:t xml:space="preserve">was </w:t>
            </w:r>
            <w:r w:rsidRPr="00620688">
              <w:rPr>
                <w:rFonts w:cstheme="minorHAnsi"/>
                <w:lang w:val="en-US"/>
              </w:rPr>
              <w:t>submitted to the MAEP for review and approval.</w:t>
            </w:r>
          </w:p>
        </w:tc>
      </w:tr>
      <w:tr w:rsidR="00E072B0" w:rsidRPr="00620688" w14:paraId="3F57BBA3" w14:textId="77777777" w:rsidTr="00EC17DE">
        <w:trPr>
          <w:gridAfter w:val="2"/>
          <w:wAfter w:w="64" w:type="dxa"/>
        </w:trPr>
        <w:tc>
          <w:tcPr>
            <w:tcW w:w="5888" w:type="dxa"/>
            <w:gridSpan w:val="4"/>
          </w:tcPr>
          <w:p w14:paraId="7FD28B46" w14:textId="6075F20E" w:rsidR="0022101B" w:rsidRPr="00620688" w:rsidRDefault="0022101B" w:rsidP="00662178">
            <w:pPr>
              <w:tabs>
                <w:tab w:val="left" w:pos="1080"/>
              </w:tabs>
              <w:spacing w:after="120" w:line="240" w:lineRule="auto"/>
              <w:rPr>
                <w:rFonts w:cstheme="minorHAnsi"/>
              </w:rPr>
            </w:pPr>
            <w:r w:rsidRPr="00620688">
              <w:rPr>
                <w:rFonts w:cstheme="minorHAnsi"/>
              </w:rPr>
              <w:t xml:space="preserve">1.2 </w:t>
            </w:r>
            <w:r w:rsidRPr="00620688">
              <w:rPr>
                <w:rFonts w:cstheme="minorHAnsi"/>
                <w:lang w:val="en-US"/>
              </w:rPr>
              <w:t xml:space="preserve">The project team </w:t>
            </w:r>
            <w:r w:rsidR="00923BD5">
              <w:rPr>
                <w:rFonts w:cstheme="minorHAnsi"/>
                <w:lang w:val="en-US"/>
              </w:rPr>
              <w:t>to</w:t>
            </w:r>
            <w:r w:rsidRPr="00620688">
              <w:rPr>
                <w:rFonts w:cstheme="minorHAnsi"/>
                <w:lang w:val="en-US"/>
              </w:rPr>
              <w:t xml:space="preserve"> submit the MRV road map through official channel to the Ministry of Agriculture and Environment Protection for further consideration and adoption </w:t>
            </w:r>
          </w:p>
        </w:tc>
        <w:tc>
          <w:tcPr>
            <w:tcW w:w="1072" w:type="dxa"/>
            <w:gridSpan w:val="4"/>
          </w:tcPr>
          <w:p w14:paraId="4B35FDC1" w14:textId="200F4043" w:rsidR="0022101B" w:rsidRPr="00620688" w:rsidRDefault="000E3C2A" w:rsidP="00662178">
            <w:pPr>
              <w:tabs>
                <w:tab w:val="left" w:pos="1080"/>
              </w:tabs>
              <w:spacing w:line="240" w:lineRule="auto"/>
              <w:rPr>
                <w:rFonts w:cstheme="minorHAnsi"/>
              </w:rPr>
            </w:pPr>
            <w:r w:rsidRPr="00620688">
              <w:rPr>
                <w:rFonts w:cstheme="minorHAnsi"/>
                <w:lang w:val="en-US"/>
              </w:rPr>
              <w:t>31 March 2022</w:t>
            </w:r>
          </w:p>
        </w:tc>
        <w:tc>
          <w:tcPr>
            <w:tcW w:w="1437" w:type="dxa"/>
            <w:gridSpan w:val="6"/>
          </w:tcPr>
          <w:p w14:paraId="7154C2BB" w14:textId="4C3E781B" w:rsidR="0022101B" w:rsidRPr="00620688" w:rsidRDefault="0022101B" w:rsidP="00662178">
            <w:pPr>
              <w:tabs>
                <w:tab w:val="left" w:pos="1080"/>
              </w:tabs>
              <w:spacing w:line="240" w:lineRule="auto"/>
              <w:rPr>
                <w:rFonts w:cstheme="minorHAnsi"/>
              </w:rPr>
            </w:pPr>
            <w:r w:rsidRPr="00620688">
              <w:rPr>
                <w:rFonts w:cstheme="minorHAnsi"/>
                <w:lang w:val="en-US"/>
              </w:rPr>
              <w:t>SCRL Project Team &amp; MAEP</w:t>
            </w:r>
          </w:p>
        </w:tc>
        <w:tc>
          <w:tcPr>
            <w:tcW w:w="1200" w:type="dxa"/>
            <w:gridSpan w:val="2"/>
          </w:tcPr>
          <w:p w14:paraId="5BBF762B" w14:textId="5BEB69E8" w:rsidR="0022101B" w:rsidRPr="00620688" w:rsidRDefault="00137DA1" w:rsidP="00662178">
            <w:pPr>
              <w:tabs>
                <w:tab w:val="left" w:pos="1080"/>
              </w:tabs>
              <w:spacing w:line="240" w:lineRule="auto"/>
              <w:rPr>
                <w:rFonts w:cstheme="minorHAnsi"/>
              </w:rPr>
            </w:pPr>
            <w:r w:rsidRPr="00620688">
              <w:rPr>
                <w:rFonts w:cstheme="minorHAnsi"/>
              </w:rPr>
              <w:t xml:space="preserve">Completed  </w:t>
            </w:r>
          </w:p>
        </w:tc>
        <w:tc>
          <w:tcPr>
            <w:tcW w:w="4896" w:type="dxa"/>
            <w:gridSpan w:val="5"/>
          </w:tcPr>
          <w:p w14:paraId="5B2541BC" w14:textId="543F9C10" w:rsidR="00055A54" w:rsidRPr="00620688" w:rsidRDefault="00415181" w:rsidP="00662178">
            <w:pPr>
              <w:tabs>
                <w:tab w:val="left" w:pos="1080"/>
              </w:tabs>
              <w:spacing w:after="120" w:line="240" w:lineRule="auto"/>
              <w:rPr>
                <w:rFonts w:cstheme="minorHAnsi"/>
                <w:lang w:val="tk-TM"/>
              </w:rPr>
            </w:pPr>
            <w:r w:rsidRPr="00620688">
              <w:rPr>
                <w:rFonts w:cstheme="minorHAnsi"/>
              </w:rPr>
              <w:t xml:space="preserve">The project developed </w:t>
            </w:r>
            <w:r w:rsidR="00137DA1" w:rsidRPr="00620688">
              <w:rPr>
                <w:rFonts w:cstheme="minorHAnsi"/>
              </w:rPr>
              <w:t xml:space="preserve">Road </w:t>
            </w:r>
            <w:r w:rsidR="002921B0" w:rsidRPr="00620688">
              <w:rPr>
                <w:rFonts w:cstheme="minorHAnsi"/>
              </w:rPr>
              <w:t>map</w:t>
            </w:r>
            <w:r w:rsidRPr="00620688">
              <w:rPr>
                <w:rFonts w:cstheme="minorHAnsi"/>
              </w:rPr>
              <w:t xml:space="preserve"> </w:t>
            </w:r>
            <w:r w:rsidR="00137DA1" w:rsidRPr="00620688">
              <w:rPr>
                <w:rFonts w:cstheme="minorHAnsi"/>
              </w:rPr>
              <w:t xml:space="preserve">and recommendations </w:t>
            </w:r>
            <w:r w:rsidRPr="00620688">
              <w:rPr>
                <w:rFonts w:cstheme="minorHAnsi"/>
              </w:rPr>
              <w:t>for the design of a domestic m</w:t>
            </w:r>
            <w:r w:rsidR="000E3C2A" w:rsidRPr="00620688">
              <w:rPr>
                <w:rFonts w:cstheme="minorHAnsi"/>
              </w:rPr>
              <w:t>onitoring</w:t>
            </w:r>
            <w:r w:rsidRPr="00620688">
              <w:rPr>
                <w:rFonts w:cstheme="minorHAnsi"/>
              </w:rPr>
              <w:t xml:space="preserve"> and reporting system taking into account the new Enhanced Transparency Framework (ETF). </w:t>
            </w:r>
            <w:r w:rsidR="0052702F" w:rsidRPr="00620688">
              <w:rPr>
                <w:rFonts w:cstheme="minorHAnsi"/>
              </w:rPr>
              <w:t xml:space="preserve">The document has been submitted to </w:t>
            </w:r>
            <w:r w:rsidR="000E3C2A" w:rsidRPr="00620688">
              <w:rPr>
                <w:rFonts w:cstheme="minorHAnsi"/>
              </w:rPr>
              <w:t xml:space="preserve">the </w:t>
            </w:r>
            <w:r w:rsidR="0052702F" w:rsidRPr="00620688">
              <w:rPr>
                <w:rFonts w:cstheme="minorHAnsi"/>
              </w:rPr>
              <w:t xml:space="preserve">MAEP and other stakeholders for review. As a result of the </w:t>
            </w:r>
            <w:r w:rsidR="0052702F" w:rsidRPr="00620688">
              <w:rPr>
                <w:rFonts w:cstheme="minorHAnsi"/>
                <w:lang w:val="tk-TM"/>
              </w:rPr>
              <w:t>re</w:t>
            </w:r>
            <w:r w:rsidR="0052702F" w:rsidRPr="00620688">
              <w:rPr>
                <w:rFonts w:cstheme="minorHAnsi"/>
                <w:lang w:val="en-US"/>
              </w:rPr>
              <w:t>v</w:t>
            </w:r>
            <w:r w:rsidR="0052702F" w:rsidRPr="00620688">
              <w:rPr>
                <w:rFonts w:cstheme="minorHAnsi"/>
                <w:lang w:val="tk-TM"/>
              </w:rPr>
              <w:t>iew</w:t>
            </w:r>
            <w:r w:rsidR="0052702F" w:rsidRPr="00620688">
              <w:rPr>
                <w:rFonts w:cstheme="minorHAnsi"/>
              </w:rPr>
              <w:t xml:space="preserve">, the MAEP requested that this document be merged with the MRV Roadmap </w:t>
            </w:r>
            <w:r w:rsidR="00137DA1" w:rsidRPr="00620688">
              <w:rPr>
                <w:rFonts w:cstheme="minorHAnsi"/>
              </w:rPr>
              <w:t xml:space="preserve">designed </w:t>
            </w:r>
            <w:r w:rsidR="0052702F" w:rsidRPr="00620688">
              <w:rPr>
                <w:rFonts w:cstheme="minorHAnsi"/>
              </w:rPr>
              <w:t xml:space="preserve">for </w:t>
            </w:r>
            <w:r w:rsidR="00137DA1" w:rsidRPr="00620688">
              <w:rPr>
                <w:rFonts w:cstheme="minorHAnsi"/>
              </w:rPr>
              <w:t xml:space="preserve">climate change </w:t>
            </w:r>
            <w:r w:rsidR="0052702F" w:rsidRPr="00620688">
              <w:rPr>
                <w:rFonts w:cstheme="minorHAnsi"/>
              </w:rPr>
              <w:t>mitigation prepared by the UNDP Sustainable Cities project, as adaptation measures can be used in the future as one of directions the overall MRV system.</w:t>
            </w:r>
          </w:p>
        </w:tc>
      </w:tr>
      <w:tr w:rsidR="00E072B0" w:rsidRPr="00620688" w14:paraId="6C9ED92B" w14:textId="77777777" w:rsidTr="00EC17DE">
        <w:trPr>
          <w:gridAfter w:val="2"/>
          <w:wAfter w:w="64" w:type="dxa"/>
        </w:trPr>
        <w:tc>
          <w:tcPr>
            <w:tcW w:w="5888" w:type="dxa"/>
            <w:gridSpan w:val="4"/>
          </w:tcPr>
          <w:p w14:paraId="23C63D19" w14:textId="0618679B" w:rsidR="0022101B" w:rsidRPr="00620688" w:rsidRDefault="0022101B" w:rsidP="00662178">
            <w:pPr>
              <w:tabs>
                <w:tab w:val="left" w:pos="1080"/>
              </w:tabs>
              <w:spacing w:after="120" w:line="240" w:lineRule="auto"/>
              <w:rPr>
                <w:rFonts w:cstheme="minorHAnsi"/>
              </w:rPr>
            </w:pPr>
            <w:r w:rsidRPr="00620688">
              <w:rPr>
                <w:rFonts w:cstheme="minorHAnsi"/>
              </w:rPr>
              <w:lastRenderedPageBreak/>
              <w:t xml:space="preserve">1.3 </w:t>
            </w:r>
            <w:r w:rsidRPr="00620688">
              <w:rPr>
                <w:rFonts w:cstheme="minorHAnsi"/>
                <w:lang w:val="en-US"/>
              </w:rPr>
              <w:t xml:space="preserve">The project team together with International </w:t>
            </w:r>
            <w:r w:rsidR="00923BD5">
              <w:rPr>
                <w:rFonts w:cstheme="minorHAnsi"/>
                <w:lang w:val="en-US"/>
              </w:rPr>
              <w:t>c</w:t>
            </w:r>
            <w:r w:rsidRPr="00620688">
              <w:rPr>
                <w:rFonts w:cstheme="minorHAnsi"/>
                <w:lang w:val="en-US"/>
              </w:rPr>
              <w:t xml:space="preserve">onsultant A. </w:t>
            </w:r>
            <w:r w:rsidR="003A72B1" w:rsidRPr="00620688">
              <w:rPr>
                <w:rFonts w:cstheme="minorHAnsi"/>
                <w:lang w:val="tk-TM"/>
              </w:rPr>
              <w:t>Ilyaso</w:t>
            </w:r>
            <w:r w:rsidR="003A72B1" w:rsidRPr="00620688">
              <w:rPr>
                <w:rFonts w:cstheme="minorHAnsi"/>
                <w:lang w:val="en-US"/>
              </w:rPr>
              <w:t xml:space="preserve">va </w:t>
            </w:r>
            <w:r w:rsidR="00923BD5">
              <w:rPr>
                <w:rFonts w:cstheme="minorHAnsi"/>
                <w:lang w:val="en-US"/>
              </w:rPr>
              <w:t>to</w:t>
            </w:r>
            <w:r w:rsidRPr="00620688">
              <w:rPr>
                <w:rFonts w:cstheme="minorHAnsi"/>
                <w:lang w:val="en-US"/>
              </w:rPr>
              <w:t xml:space="preserve"> finalize the conceptual methodological guidelines on the use of gender-disaggregated data in adaptation planning and budgeting for water and agriculture and present it at the National workshop to be held on February 2022</w:t>
            </w:r>
          </w:p>
        </w:tc>
        <w:tc>
          <w:tcPr>
            <w:tcW w:w="1072" w:type="dxa"/>
            <w:gridSpan w:val="4"/>
          </w:tcPr>
          <w:p w14:paraId="0722BC9B" w14:textId="4B86B843" w:rsidR="0022101B" w:rsidRPr="00620688" w:rsidRDefault="000E3C2A" w:rsidP="00662178">
            <w:pPr>
              <w:tabs>
                <w:tab w:val="left" w:pos="1080"/>
              </w:tabs>
              <w:spacing w:line="240" w:lineRule="auto"/>
              <w:rPr>
                <w:rFonts w:cstheme="minorHAnsi"/>
              </w:rPr>
            </w:pPr>
            <w:r w:rsidRPr="00620688">
              <w:rPr>
                <w:rFonts w:cstheme="minorHAnsi"/>
                <w:lang w:val="en-US"/>
              </w:rPr>
              <w:t>31 March 2022</w:t>
            </w:r>
          </w:p>
        </w:tc>
        <w:tc>
          <w:tcPr>
            <w:tcW w:w="1437" w:type="dxa"/>
            <w:gridSpan w:val="6"/>
          </w:tcPr>
          <w:p w14:paraId="5AAA3596" w14:textId="208238ED" w:rsidR="0022101B" w:rsidRPr="00620688" w:rsidRDefault="0022101B" w:rsidP="00662178">
            <w:pPr>
              <w:tabs>
                <w:tab w:val="left" w:pos="1080"/>
              </w:tabs>
              <w:spacing w:line="240" w:lineRule="auto"/>
              <w:rPr>
                <w:rFonts w:cstheme="minorHAnsi"/>
              </w:rPr>
            </w:pPr>
            <w:r w:rsidRPr="00620688">
              <w:rPr>
                <w:rFonts w:cstheme="minorHAnsi"/>
                <w:lang w:val="en-US"/>
              </w:rPr>
              <w:t>SCRL Project Team &amp; MAEP</w:t>
            </w:r>
          </w:p>
        </w:tc>
        <w:tc>
          <w:tcPr>
            <w:tcW w:w="1200" w:type="dxa"/>
            <w:gridSpan w:val="2"/>
          </w:tcPr>
          <w:p w14:paraId="4ED6ACEF" w14:textId="47EBB9AF" w:rsidR="0022101B" w:rsidRPr="00620688" w:rsidRDefault="00137DA1" w:rsidP="00662178">
            <w:pPr>
              <w:tabs>
                <w:tab w:val="left" w:pos="1080"/>
              </w:tabs>
              <w:spacing w:line="240" w:lineRule="auto"/>
              <w:rPr>
                <w:rFonts w:cstheme="minorHAnsi"/>
              </w:rPr>
            </w:pPr>
            <w:r w:rsidRPr="00620688">
              <w:rPr>
                <w:rFonts w:cstheme="minorHAnsi"/>
              </w:rPr>
              <w:t xml:space="preserve">Completed </w:t>
            </w:r>
            <w:r w:rsidR="0022101B" w:rsidRPr="00620688">
              <w:rPr>
                <w:rFonts w:cstheme="minorHAnsi"/>
              </w:rPr>
              <w:t xml:space="preserve"> </w:t>
            </w:r>
          </w:p>
        </w:tc>
        <w:tc>
          <w:tcPr>
            <w:tcW w:w="4896" w:type="dxa"/>
            <w:gridSpan w:val="5"/>
          </w:tcPr>
          <w:p w14:paraId="1CB526D1" w14:textId="3D620473" w:rsidR="00137DA1" w:rsidRPr="00620688" w:rsidRDefault="003A72B1" w:rsidP="00662178">
            <w:pPr>
              <w:tabs>
                <w:tab w:val="left" w:pos="1080"/>
              </w:tabs>
              <w:spacing w:after="120" w:line="240" w:lineRule="auto"/>
              <w:rPr>
                <w:rFonts w:cstheme="minorHAnsi"/>
                <w:lang w:val="en-US"/>
              </w:rPr>
            </w:pPr>
            <w:r w:rsidRPr="00620688">
              <w:rPr>
                <w:rFonts w:cstheme="minorHAnsi"/>
                <w:lang w:val="en-US"/>
              </w:rPr>
              <w:t xml:space="preserve">The project engaged the International Consultant A. Ilyasova for the preparation of the conceptual methodological guidelines on the use of gender-disaggregated data in adaptation planning and budgeting for water and agriculture. Number of comments have been presented by the project team to be addressed to improve the structure of the report and its consistency. </w:t>
            </w:r>
            <w:r w:rsidR="00137DA1" w:rsidRPr="00620688">
              <w:rPr>
                <w:rFonts w:cstheme="minorHAnsi"/>
                <w:lang w:val="en-US"/>
              </w:rPr>
              <w:t>On February 17, 2022, a workshop was held on the presentation of conceptual</w:t>
            </w:r>
            <w:r w:rsidR="00262FBB" w:rsidRPr="00620688">
              <w:rPr>
                <w:rFonts w:cstheme="minorHAnsi"/>
                <w:lang w:val="en-US"/>
              </w:rPr>
              <w:t xml:space="preserve"> methodological</w:t>
            </w:r>
            <w:r w:rsidR="00137DA1" w:rsidRPr="00620688">
              <w:rPr>
                <w:rFonts w:cstheme="minorHAnsi"/>
                <w:lang w:val="en-US"/>
              </w:rPr>
              <w:t xml:space="preserve"> guidelines with the participation of all stakeholders. The document </w:t>
            </w:r>
            <w:r w:rsidR="00262FBB" w:rsidRPr="00620688">
              <w:rPr>
                <w:rFonts w:cstheme="minorHAnsi"/>
                <w:lang w:val="tk-TM"/>
              </w:rPr>
              <w:t>was</w:t>
            </w:r>
            <w:r w:rsidR="00137DA1" w:rsidRPr="00620688">
              <w:rPr>
                <w:rFonts w:cstheme="minorHAnsi"/>
                <w:lang w:val="en-US"/>
              </w:rPr>
              <w:t xml:space="preserve"> finalized and submitted to the </w:t>
            </w:r>
            <w:r w:rsidR="000E3C2A" w:rsidRPr="00620688">
              <w:rPr>
                <w:rFonts w:cstheme="minorHAnsi"/>
                <w:lang w:val="en-US"/>
              </w:rPr>
              <w:t>MAEP</w:t>
            </w:r>
            <w:r w:rsidR="00137DA1" w:rsidRPr="00620688">
              <w:rPr>
                <w:rFonts w:cstheme="minorHAnsi"/>
                <w:lang w:val="en-US"/>
              </w:rPr>
              <w:t xml:space="preserve"> for consideration.</w:t>
            </w:r>
          </w:p>
        </w:tc>
      </w:tr>
      <w:tr w:rsidR="0022101B" w:rsidRPr="00620688" w14:paraId="57C13C40" w14:textId="77777777" w:rsidTr="00EC17DE">
        <w:trPr>
          <w:gridAfter w:val="2"/>
          <w:wAfter w:w="64" w:type="dxa"/>
        </w:trPr>
        <w:tc>
          <w:tcPr>
            <w:tcW w:w="5888" w:type="dxa"/>
            <w:gridSpan w:val="4"/>
          </w:tcPr>
          <w:p w14:paraId="12586898" w14:textId="35DE9037" w:rsidR="0022101B" w:rsidRPr="00620688" w:rsidRDefault="0022101B" w:rsidP="00662178">
            <w:pPr>
              <w:tabs>
                <w:tab w:val="left" w:pos="1080"/>
              </w:tabs>
              <w:spacing w:after="120" w:line="240" w:lineRule="auto"/>
              <w:rPr>
                <w:rFonts w:cstheme="minorHAnsi"/>
              </w:rPr>
            </w:pPr>
            <w:r w:rsidRPr="00620688">
              <w:rPr>
                <w:rFonts w:cstheme="minorHAnsi"/>
              </w:rPr>
              <w:t xml:space="preserve">1.4 </w:t>
            </w:r>
            <w:r w:rsidR="00923BD5">
              <w:rPr>
                <w:rFonts w:cstheme="minorHAnsi"/>
              </w:rPr>
              <w:t xml:space="preserve">Project Team to complete </w:t>
            </w:r>
            <w:r w:rsidRPr="00620688">
              <w:rPr>
                <w:rFonts w:cstheme="minorHAnsi"/>
                <w:lang w:val="en-US"/>
              </w:rPr>
              <w:t>the Presentation Package on the best climate change adaptation / climate-resilient measures and present it to the interested parties including members of the private sector</w:t>
            </w:r>
            <w:r w:rsidR="000E3C2A" w:rsidRPr="00620688">
              <w:rPr>
                <w:rFonts w:cstheme="minorHAnsi"/>
                <w:lang w:val="en-US"/>
              </w:rPr>
              <w:t>.</w:t>
            </w:r>
            <w:r w:rsidRPr="00620688">
              <w:rPr>
                <w:rFonts w:cstheme="minorHAnsi"/>
                <w:lang w:val="en-US"/>
              </w:rPr>
              <w:t xml:space="preserve"> </w:t>
            </w:r>
          </w:p>
        </w:tc>
        <w:tc>
          <w:tcPr>
            <w:tcW w:w="1072" w:type="dxa"/>
            <w:gridSpan w:val="4"/>
          </w:tcPr>
          <w:p w14:paraId="64B1422B" w14:textId="2204AC83" w:rsidR="0022101B" w:rsidRPr="00620688" w:rsidRDefault="000E3C2A" w:rsidP="00662178">
            <w:pPr>
              <w:tabs>
                <w:tab w:val="left" w:pos="1080"/>
              </w:tabs>
              <w:spacing w:line="240" w:lineRule="auto"/>
              <w:rPr>
                <w:rFonts w:cstheme="minorHAnsi"/>
              </w:rPr>
            </w:pPr>
            <w:r w:rsidRPr="00620688">
              <w:rPr>
                <w:rFonts w:cstheme="minorHAnsi"/>
                <w:lang w:val="en-US"/>
              </w:rPr>
              <w:t>31 March 2022</w:t>
            </w:r>
          </w:p>
        </w:tc>
        <w:tc>
          <w:tcPr>
            <w:tcW w:w="1437" w:type="dxa"/>
            <w:gridSpan w:val="6"/>
          </w:tcPr>
          <w:p w14:paraId="7F44593D" w14:textId="5434FCBE" w:rsidR="0022101B" w:rsidRPr="00620688" w:rsidRDefault="0022101B" w:rsidP="00662178">
            <w:pPr>
              <w:tabs>
                <w:tab w:val="left" w:pos="1080"/>
              </w:tabs>
              <w:spacing w:line="240" w:lineRule="auto"/>
              <w:rPr>
                <w:rFonts w:cstheme="minorHAnsi"/>
              </w:rPr>
            </w:pPr>
            <w:r w:rsidRPr="00620688">
              <w:rPr>
                <w:rFonts w:cstheme="minorHAnsi"/>
                <w:lang w:val="en-US"/>
              </w:rPr>
              <w:t>SCRL Project Team &amp; MAEP</w:t>
            </w:r>
          </w:p>
        </w:tc>
        <w:tc>
          <w:tcPr>
            <w:tcW w:w="1200" w:type="dxa"/>
            <w:gridSpan w:val="2"/>
          </w:tcPr>
          <w:p w14:paraId="7C206F65" w14:textId="275A2F1D" w:rsidR="0022101B" w:rsidRPr="00620688" w:rsidRDefault="00262FBB" w:rsidP="00662178">
            <w:pPr>
              <w:tabs>
                <w:tab w:val="left" w:pos="1080"/>
              </w:tabs>
              <w:spacing w:line="240" w:lineRule="auto"/>
              <w:rPr>
                <w:rFonts w:cstheme="minorHAnsi"/>
              </w:rPr>
            </w:pPr>
            <w:r w:rsidRPr="00620688">
              <w:rPr>
                <w:rFonts w:cstheme="minorHAnsi"/>
                <w:lang w:val="en-US"/>
              </w:rPr>
              <w:t xml:space="preserve">Completed </w:t>
            </w:r>
            <w:r w:rsidR="0022101B" w:rsidRPr="00620688">
              <w:rPr>
                <w:rFonts w:cstheme="minorHAnsi"/>
              </w:rPr>
              <w:t xml:space="preserve"> </w:t>
            </w:r>
          </w:p>
        </w:tc>
        <w:tc>
          <w:tcPr>
            <w:tcW w:w="4896" w:type="dxa"/>
            <w:gridSpan w:val="5"/>
          </w:tcPr>
          <w:p w14:paraId="404811FB" w14:textId="7DE99700" w:rsidR="00B13359" w:rsidRPr="00620688" w:rsidRDefault="003A72B1" w:rsidP="00662178">
            <w:pPr>
              <w:tabs>
                <w:tab w:val="left" w:pos="1080"/>
              </w:tabs>
              <w:spacing w:after="120" w:line="240" w:lineRule="auto"/>
              <w:rPr>
                <w:rFonts w:cstheme="minorHAnsi"/>
                <w:lang w:val="en-US"/>
              </w:rPr>
            </w:pPr>
            <w:r w:rsidRPr="00620688">
              <w:rPr>
                <w:rFonts w:cstheme="minorHAnsi"/>
                <w:lang w:val="en-US"/>
              </w:rPr>
              <w:t xml:space="preserve">The project team </w:t>
            </w:r>
            <w:r w:rsidR="000E3C2A" w:rsidRPr="00620688">
              <w:rPr>
                <w:rFonts w:cstheme="minorHAnsi"/>
                <w:lang w:val="en-US"/>
              </w:rPr>
              <w:t xml:space="preserve">has prepared </w:t>
            </w:r>
            <w:r w:rsidRPr="00620688">
              <w:rPr>
                <w:rFonts w:cstheme="minorHAnsi"/>
                <w:lang w:val="en-US"/>
              </w:rPr>
              <w:t>the Presentation package (PP)</w:t>
            </w:r>
            <w:r w:rsidR="000E3C2A" w:rsidRPr="00620688">
              <w:rPr>
                <w:rFonts w:cstheme="minorHAnsi"/>
                <w:lang w:val="en-US"/>
              </w:rPr>
              <w:t xml:space="preserve"> in consultation with the Country Office and the MAEP</w:t>
            </w:r>
            <w:r w:rsidRPr="00620688">
              <w:rPr>
                <w:rFonts w:cstheme="minorHAnsi"/>
                <w:lang w:val="en-US"/>
              </w:rPr>
              <w:t>.</w:t>
            </w:r>
            <w:r w:rsidR="00582B58" w:rsidRPr="00620688">
              <w:rPr>
                <w:rFonts w:cstheme="minorHAnsi"/>
                <w:lang w:val="en-US"/>
              </w:rPr>
              <w:t xml:space="preserve"> </w:t>
            </w:r>
          </w:p>
          <w:p w14:paraId="035E67D0" w14:textId="2723034C" w:rsidR="00B13359" w:rsidRPr="00620688" w:rsidRDefault="00B13359" w:rsidP="00662178">
            <w:pPr>
              <w:tabs>
                <w:tab w:val="left" w:pos="1080"/>
              </w:tabs>
              <w:spacing w:after="120" w:line="240" w:lineRule="auto"/>
              <w:rPr>
                <w:rFonts w:cstheme="minorHAnsi"/>
                <w:lang w:val="en-GB"/>
              </w:rPr>
            </w:pPr>
            <w:r w:rsidRPr="00620688">
              <w:rPr>
                <w:rFonts w:cstheme="minorHAnsi"/>
                <w:lang w:val="en-GB"/>
              </w:rPr>
              <w:t xml:space="preserve">At the final meeting of the Project Management Board, held on March 30, 2022, the PP was presented to all meeting participants and interested parties. The digital </w:t>
            </w:r>
            <w:r w:rsidR="00905A65" w:rsidRPr="00620688">
              <w:rPr>
                <w:rFonts w:cstheme="minorHAnsi"/>
                <w:lang w:val="en-GB"/>
              </w:rPr>
              <w:t xml:space="preserve">(saved on flash drives, CD disks) and printed </w:t>
            </w:r>
            <w:r w:rsidRPr="00620688">
              <w:rPr>
                <w:rFonts w:cstheme="minorHAnsi"/>
                <w:lang w:val="en-GB"/>
              </w:rPr>
              <w:t>version</w:t>
            </w:r>
            <w:r w:rsidR="00905A65" w:rsidRPr="00620688">
              <w:rPr>
                <w:rFonts w:cstheme="minorHAnsi"/>
                <w:lang w:val="en-GB"/>
              </w:rPr>
              <w:t>s</w:t>
            </w:r>
            <w:r w:rsidRPr="00620688">
              <w:rPr>
                <w:rFonts w:cstheme="minorHAnsi"/>
                <w:lang w:val="en-GB"/>
              </w:rPr>
              <w:t xml:space="preserve"> of the PP and were distributed among the participating ministries and institutions, farmers' associations and representatives of the private sector of the pilot regions of the project.</w:t>
            </w:r>
          </w:p>
        </w:tc>
      </w:tr>
      <w:tr w:rsidR="00D0560B" w:rsidRPr="00620688" w14:paraId="1A4BD419" w14:textId="77777777" w:rsidTr="00EC17DE">
        <w:tblPrEx>
          <w:tblBorders>
            <w:insideH w:val="single" w:sz="4" w:space="0" w:color="auto"/>
            <w:insideV w:val="single" w:sz="4" w:space="0" w:color="auto"/>
          </w:tblBorders>
        </w:tblPrEx>
        <w:tc>
          <w:tcPr>
            <w:tcW w:w="14557" w:type="dxa"/>
            <w:gridSpan w:val="23"/>
            <w:shd w:val="clear" w:color="auto" w:fill="F3F3F3"/>
          </w:tcPr>
          <w:p w14:paraId="7FB7D00F" w14:textId="77777777" w:rsidR="00DB009F" w:rsidRPr="00620688" w:rsidRDefault="00D0560B" w:rsidP="00F34863">
            <w:pPr>
              <w:spacing w:after="120" w:line="240" w:lineRule="auto"/>
              <w:jc w:val="both"/>
              <w:rPr>
                <w:rFonts w:cstheme="minorHAnsi"/>
                <w:lang w:val="en-US"/>
              </w:rPr>
            </w:pPr>
            <w:r w:rsidRPr="00620688">
              <w:rPr>
                <w:rFonts w:cstheme="minorHAnsi"/>
                <w:b/>
              </w:rPr>
              <w:t xml:space="preserve">Terminal Evaluation recommendation 2. </w:t>
            </w:r>
            <w:r w:rsidR="00DB009F" w:rsidRPr="00620688">
              <w:rPr>
                <w:rFonts w:cstheme="minorHAnsi"/>
                <w:b/>
              </w:rPr>
              <w:t xml:space="preserve"> </w:t>
            </w:r>
            <w:r w:rsidR="00DB009F" w:rsidRPr="00620688">
              <w:rPr>
                <w:rFonts w:cstheme="minorHAnsi"/>
                <w:b/>
                <w:bCs/>
                <w:i/>
                <w:iCs/>
                <w:lang w:val="en-US"/>
              </w:rPr>
              <w:t>Recommendation 2: Strengthen the sustainability of the project by further institutionalizing project outputs and promoting the dissemination of project approaches and technologies</w:t>
            </w:r>
          </w:p>
          <w:p w14:paraId="37BFD8C7" w14:textId="3B9892B1" w:rsidR="000C2F63" w:rsidRPr="00620688" w:rsidRDefault="000C2F63" w:rsidP="00F34863">
            <w:pPr>
              <w:spacing w:after="120" w:line="240" w:lineRule="auto"/>
              <w:jc w:val="both"/>
              <w:rPr>
                <w:rFonts w:cstheme="minorHAnsi"/>
                <w:lang w:val="en-US"/>
              </w:rPr>
            </w:pPr>
            <w:r w:rsidRPr="00620688">
              <w:rPr>
                <w:rFonts w:cstheme="minorHAnsi"/>
              </w:rPr>
              <w:t xml:space="preserve">To strengthen the sustainability of project results, the project team and </w:t>
            </w:r>
            <w:r w:rsidR="00B848B7" w:rsidRPr="00620688">
              <w:rPr>
                <w:rFonts w:cstheme="minorHAnsi"/>
              </w:rPr>
              <w:t xml:space="preserve">the </w:t>
            </w:r>
            <w:r w:rsidRPr="00620688">
              <w:rPr>
                <w:rFonts w:cstheme="minorHAnsi"/>
              </w:rPr>
              <w:t>MAEP should focus in the last few weeks of the project more intensively on the way in which some of the structures created by the project will be operated going forward and how the experiences and results of the project will be disseminated in other locations. In the remaining period of this project, the two partners should take a more proactive approach for the upscaling and replication of the adaptation project measures in other etraps and velayats.</w:t>
            </w:r>
            <w:r w:rsidR="00F34863" w:rsidRPr="00620688">
              <w:rPr>
                <w:rFonts w:cstheme="minorHAnsi"/>
              </w:rPr>
              <w:t xml:space="preserve"> </w:t>
            </w:r>
            <w:r w:rsidRPr="00620688">
              <w:rPr>
                <w:rFonts w:cstheme="minorHAnsi"/>
                <w:lang w:val="en-US"/>
              </w:rPr>
              <w:t>The following are some key recommendations for the attention of the Government of Turkmenistan</w:t>
            </w:r>
            <w:r w:rsidR="00B848B7" w:rsidRPr="00620688">
              <w:rPr>
                <w:rFonts w:cstheme="minorHAnsi"/>
                <w:lang w:val="en-US"/>
              </w:rPr>
              <w:t xml:space="preserve"> (GoT)</w:t>
            </w:r>
            <w:r w:rsidRPr="00620688">
              <w:rPr>
                <w:rFonts w:cstheme="minorHAnsi"/>
                <w:lang w:val="en-US"/>
              </w:rPr>
              <w:t xml:space="preserve"> that will strengthen the sustainability of project results by further promoting the experience of the SCRL project:</w:t>
            </w:r>
          </w:p>
          <w:p w14:paraId="3C4EAC8A" w14:textId="77777777" w:rsidR="000C2F63" w:rsidRPr="00620688" w:rsidRDefault="000C2F63" w:rsidP="000C2F63">
            <w:pPr>
              <w:pStyle w:val="ListParagraph"/>
              <w:numPr>
                <w:ilvl w:val="0"/>
                <w:numId w:val="3"/>
              </w:numPr>
              <w:spacing w:after="0" w:line="240" w:lineRule="auto"/>
              <w:jc w:val="both"/>
              <w:rPr>
                <w:rFonts w:cstheme="minorHAnsi"/>
                <w:lang w:val="en-US"/>
              </w:rPr>
            </w:pPr>
            <w:r w:rsidRPr="00620688">
              <w:rPr>
                <w:rFonts w:cstheme="minorHAnsi"/>
                <w:lang w:val="en-US"/>
              </w:rPr>
              <w:lastRenderedPageBreak/>
              <w:t>GoT is recommended to widen and strengthen the formal responsibilities and engagement of the Interdepartmental Commission on Environmental Protection in the coordination of sectoral policy development and implementation, to ensure the proper uptake, and promotion and sustainable use of best practice experiences, including those of the SCRL project.</w:t>
            </w:r>
          </w:p>
          <w:p w14:paraId="331B52E0" w14:textId="77777777" w:rsidR="000C2F63" w:rsidRPr="00620688" w:rsidRDefault="000C2F63" w:rsidP="000C2F63">
            <w:pPr>
              <w:pStyle w:val="ListParagraph"/>
              <w:numPr>
                <w:ilvl w:val="0"/>
                <w:numId w:val="3"/>
              </w:numPr>
              <w:spacing w:after="0" w:line="240" w:lineRule="auto"/>
              <w:jc w:val="both"/>
              <w:rPr>
                <w:rFonts w:cstheme="minorHAnsi"/>
                <w:lang w:val="en-US"/>
              </w:rPr>
            </w:pPr>
            <w:r w:rsidRPr="00620688">
              <w:rPr>
                <w:rFonts w:cstheme="minorHAnsi"/>
                <w:lang w:val="en-US"/>
              </w:rPr>
              <w:t>GoT is recommended to create an institutional framework for the implementation of the AEZ modelling as a tool for collecting and storing data on land inventory, for agriculture planning and investment. AEZ modelling will also facilitate operations related to the Land Cadastre, the development of the Agro-industrial complex, etc.</w:t>
            </w:r>
          </w:p>
          <w:p w14:paraId="43DC154E" w14:textId="6C96BCA4" w:rsidR="000C2F63" w:rsidRPr="00620688" w:rsidRDefault="000C2F63" w:rsidP="00B848B7">
            <w:pPr>
              <w:pStyle w:val="ListParagraph"/>
              <w:numPr>
                <w:ilvl w:val="0"/>
                <w:numId w:val="3"/>
              </w:numPr>
              <w:spacing w:after="0" w:line="240" w:lineRule="auto"/>
              <w:jc w:val="both"/>
              <w:rPr>
                <w:rFonts w:cstheme="minorHAnsi"/>
              </w:rPr>
            </w:pPr>
            <w:r w:rsidRPr="00620688">
              <w:rPr>
                <w:rFonts w:cstheme="minorHAnsi"/>
              </w:rPr>
              <w:t xml:space="preserve">GoT </w:t>
            </w:r>
            <w:r w:rsidRPr="00620688">
              <w:rPr>
                <w:rFonts w:cstheme="minorHAnsi"/>
                <w:lang w:val="en-US"/>
              </w:rPr>
              <w:t xml:space="preserve">is recommended to </w:t>
            </w:r>
            <w:r w:rsidRPr="00620688">
              <w:rPr>
                <w:rFonts w:cstheme="minorHAnsi"/>
              </w:rPr>
              <w:t xml:space="preserve">pay particular attention to the sustainability of AICs. </w:t>
            </w:r>
            <w:r w:rsidRPr="00620688">
              <w:rPr>
                <w:rFonts w:cstheme="minorHAnsi"/>
                <w:lang w:val="en-US"/>
              </w:rPr>
              <w:t xml:space="preserve">GoT should continue the functional operation of AICs established by the project as a key structure supporting the transfer of knowledge and skills on climate change adaptation to the local farmers and community at large. </w:t>
            </w:r>
            <w:r w:rsidRPr="00620688">
              <w:rPr>
                <w:rFonts w:cstheme="minorHAnsi"/>
              </w:rPr>
              <w:t>The project should seek to obtain a formal decision by the Government on who will take responsibility for the operation of AICs upon the project’s completion. If such a decision is not obtained in time, the project team must organize a handover to MAEP with a clear action plan for MAEP’s attention.</w:t>
            </w:r>
          </w:p>
          <w:p w14:paraId="6D2A33F0" w14:textId="3CE6704C" w:rsidR="000C2F63" w:rsidRPr="00620688" w:rsidRDefault="000C2F63" w:rsidP="000C2F63">
            <w:pPr>
              <w:pStyle w:val="ListParagraph"/>
              <w:numPr>
                <w:ilvl w:val="0"/>
                <w:numId w:val="3"/>
              </w:numPr>
              <w:spacing w:after="0" w:line="240" w:lineRule="auto"/>
              <w:jc w:val="both"/>
              <w:rPr>
                <w:rFonts w:cstheme="minorHAnsi"/>
              </w:rPr>
            </w:pPr>
            <w:r w:rsidRPr="00620688">
              <w:rPr>
                <w:rFonts w:cstheme="minorHAnsi"/>
              </w:rPr>
              <w:t>Following the handover of M</w:t>
            </w:r>
            <w:r w:rsidR="00B848B7" w:rsidRPr="00620688">
              <w:rPr>
                <w:rFonts w:cstheme="minorHAnsi"/>
              </w:rPr>
              <w:t>ulti-cluster maps (M</w:t>
            </w:r>
            <w:r w:rsidRPr="00620688">
              <w:rPr>
                <w:rFonts w:cstheme="minorHAnsi"/>
              </w:rPr>
              <w:t>CLM</w:t>
            </w:r>
            <w:r w:rsidR="00B848B7" w:rsidRPr="00620688">
              <w:rPr>
                <w:rFonts w:cstheme="minorHAnsi"/>
              </w:rPr>
              <w:t>)</w:t>
            </w:r>
            <w:r w:rsidRPr="00620688">
              <w:rPr>
                <w:rFonts w:cstheme="minorHAnsi"/>
              </w:rPr>
              <w:t xml:space="preserve"> to MAEP, and in acknowledgement by MAEP that the maps are a useful tool for the climate change adaptation planning process, it is recommended that the GoT considers investing in the neccesary capacity building and awareness raising among decision-makers and experts on the usefulness of MCLM, the requirements and conditions for the application of this sophisticated tool necessary for incorporating the digital tool on climate change adaptation into policy development and planning.</w:t>
            </w:r>
          </w:p>
          <w:p w14:paraId="2B92117D" w14:textId="77777777" w:rsidR="000C2F63" w:rsidRPr="00620688" w:rsidRDefault="000C2F63" w:rsidP="000C2F63">
            <w:pPr>
              <w:pStyle w:val="ListParagraph"/>
              <w:numPr>
                <w:ilvl w:val="0"/>
                <w:numId w:val="3"/>
              </w:numPr>
              <w:spacing w:after="0" w:line="240" w:lineRule="auto"/>
              <w:jc w:val="both"/>
              <w:rPr>
                <w:rFonts w:cstheme="minorHAnsi"/>
                <w:lang w:val="en-US"/>
              </w:rPr>
            </w:pPr>
            <w:r w:rsidRPr="00620688">
              <w:rPr>
                <w:rFonts w:cstheme="minorHAnsi"/>
                <w:lang w:val="en-US"/>
              </w:rPr>
              <w:t xml:space="preserve">GoT is recommended to incorporate the MRV Road Map into agriculture and water sector policies, which will further promote adaptation planning processes towards ensuring meeting Turkmenistan’s commitments under the Paris Agreement with regards to the enhanced framework transparency.  </w:t>
            </w:r>
          </w:p>
          <w:p w14:paraId="6109817F" w14:textId="77777777" w:rsidR="000C2F63" w:rsidRPr="00620688" w:rsidRDefault="000C2F63" w:rsidP="000C2F63">
            <w:pPr>
              <w:pStyle w:val="ListParagraph"/>
              <w:numPr>
                <w:ilvl w:val="0"/>
                <w:numId w:val="3"/>
              </w:numPr>
              <w:spacing w:after="0" w:line="240" w:lineRule="auto"/>
              <w:jc w:val="both"/>
              <w:rPr>
                <w:rFonts w:cstheme="minorHAnsi"/>
                <w:lang w:val="en-US"/>
              </w:rPr>
            </w:pPr>
            <w:r w:rsidRPr="00620688">
              <w:rPr>
                <w:rFonts w:cstheme="minorHAnsi"/>
                <w:lang w:val="en-US"/>
              </w:rPr>
              <w:t>GoT is recommended to adopt the guidelines on mainstreaming climate change adaptation in the agriculture and water sectors developed through the project and integrate them into national policies/strategies.</w:t>
            </w:r>
          </w:p>
          <w:p w14:paraId="48A26D67" w14:textId="6B9E9F55" w:rsidR="000B2165" w:rsidRPr="00620688" w:rsidRDefault="000C2F63" w:rsidP="000C2F63">
            <w:pPr>
              <w:pStyle w:val="ListParagraph"/>
              <w:numPr>
                <w:ilvl w:val="0"/>
                <w:numId w:val="3"/>
              </w:numPr>
              <w:spacing w:after="0" w:line="240" w:lineRule="auto"/>
              <w:jc w:val="both"/>
              <w:rPr>
                <w:rFonts w:cstheme="minorHAnsi"/>
                <w:lang w:val="en-US"/>
              </w:rPr>
            </w:pPr>
            <w:r w:rsidRPr="00620688">
              <w:rPr>
                <w:rFonts w:cstheme="minorHAnsi"/>
                <w:lang w:val="en-US"/>
              </w:rPr>
              <w:t>GoT is recommended to take over from the project the responsibility for the dissemination of project results in other localities in the country. The project team and MAEP should develop an action plan for the dissemination of project results, underpinned by specific actions and timelines, and the commitment of the Government to carry out this work.</w:t>
            </w:r>
          </w:p>
        </w:tc>
      </w:tr>
      <w:tr w:rsidR="00D0560B" w:rsidRPr="00620688" w14:paraId="30B5BF5C" w14:textId="77777777" w:rsidTr="00EC17DE">
        <w:tblPrEx>
          <w:tblBorders>
            <w:insideH w:val="single" w:sz="4" w:space="0" w:color="auto"/>
            <w:insideV w:val="single" w:sz="4" w:space="0" w:color="auto"/>
          </w:tblBorders>
        </w:tblPrEx>
        <w:tc>
          <w:tcPr>
            <w:tcW w:w="14557" w:type="dxa"/>
            <w:gridSpan w:val="23"/>
            <w:shd w:val="clear" w:color="auto" w:fill="F3F3F3"/>
          </w:tcPr>
          <w:p w14:paraId="6A148817" w14:textId="0A046799" w:rsidR="00D0560B" w:rsidRPr="00620688" w:rsidRDefault="00D0560B" w:rsidP="00FE3C50">
            <w:pPr>
              <w:tabs>
                <w:tab w:val="left" w:pos="1080"/>
              </w:tabs>
              <w:rPr>
                <w:rFonts w:cstheme="minorHAnsi"/>
                <w:b/>
              </w:rPr>
            </w:pPr>
            <w:r w:rsidRPr="00620688">
              <w:rPr>
                <w:rFonts w:cstheme="minorHAnsi"/>
                <w:b/>
              </w:rPr>
              <w:lastRenderedPageBreak/>
              <w:t>Management response:</w:t>
            </w:r>
            <w:r w:rsidR="00CE5D9C" w:rsidRPr="00620688">
              <w:rPr>
                <w:rFonts w:cstheme="minorHAnsi"/>
                <w:bCs/>
                <w:lang w:val="en-GB"/>
              </w:rPr>
              <w:t xml:space="preserve"> </w:t>
            </w:r>
            <w:r w:rsidR="00CE5D9C" w:rsidRPr="00620688">
              <w:rPr>
                <w:rFonts w:cstheme="minorHAnsi"/>
                <w:lang w:val="en-US"/>
              </w:rPr>
              <w:t>The recommendation is partially accepted and addressed through the actions below.</w:t>
            </w:r>
            <w:r w:rsidR="008A554B" w:rsidRPr="00620688">
              <w:rPr>
                <w:rFonts w:cstheme="minorHAnsi"/>
                <w:lang w:val="en-US"/>
              </w:rPr>
              <w:t xml:space="preserve"> UNDP CO will continue to closely work with the Government of Turkmenistan within its environment portfolio projects on most of the recommended actions to strengthen the sustainability</w:t>
            </w:r>
            <w:r w:rsidR="00C65478" w:rsidRPr="00620688">
              <w:rPr>
                <w:rFonts w:cstheme="minorHAnsi"/>
                <w:lang w:val="en-US"/>
              </w:rPr>
              <w:t xml:space="preserve"> of the project results.</w:t>
            </w:r>
            <w:r w:rsidR="008A554B" w:rsidRPr="00620688">
              <w:rPr>
                <w:rFonts w:cstheme="minorHAnsi"/>
                <w:lang w:val="en-US"/>
              </w:rPr>
              <w:t xml:space="preserve"> </w:t>
            </w:r>
            <w:r w:rsidR="00CE5D9C" w:rsidRPr="00620688">
              <w:rPr>
                <w:rFonts w:cstheme="minorHAnsi"/>
                <w:lang w:val="en-US"/>
              </w:rPr>
              <w:t xml:space="preserve"> </w:t>
            </w:r>
          </w:p>
        </w:tc>
      </w:tr>
      <w:tr w:rsidR="00946066" w:rsidRPr="00620688" w14:paraId="3569705B" w14:textId="77777777" w:rsidTr="00EC17DE">
        <w:tblPrEx>
          <w:tblBorders>
            <w:insideH w:val="single" w:sz="4" w:space="0" w:color="auto"/>
            <w:insideV w:val="single" w:sz="4" w:space="0" w:color="auto"/>
          </w:tblBorders>
        </w:tblPrEx>
        <w:trPr>
          <w:trHeight w:val="135"/>
        </w:trPr>
        <w:tc>
          <w:tcPr>
            <w:tcW w:w="5860" w:type="dxa"/>
            <w:gridSpan w:val="2"/>
            <w:vMerge w:val="restart"/>
            <w:shd w:val="clear" w:color="auto" w:fill="F3F3F3"/>
          </w:tcPr>
          <w:p w14:paraId="477B0091" w14:textId="77777777" w:rsidR="00946066" w:rsidRPr="00620688" w:rsidRDefault="00946066" w:rsidP="000F75FC">
            <w:pPr>
              <w:tabs>
                <w:tab w:val="left" w:pos="1080"/>
              </w:tabs>
              <w:spacing w:after="0" w:line="240" w:lineRule="auto"/>
              <w:jc w:val="center"/>
              <w:rPr>
                <w:rFonts w:cstheme="minorHAnsi"/>
                <w:b/>
              </w:rPr>
            </w:pPr>
            <w:r w:rsidRPr="00620688">
              <w:rPr>
                <w:rFonts w:cstheme="minorHAnsi"/>
                <w:b/>
              </w:rPr>
              <w:t>Key action(s)</w:t>
            </w:r>
          </w:p>
        </w:tc>
        <w:tc>
          <w:tcPr>
            <w:tcW w:w="1158" w:type="dxa"/>
            <w:gridSpan w:val="7"/>
            <w:vMerge w:val="restart"/>
            <w:shd w:val="clear" w:color="auto" w:fill="F3F3F3"/>
          </w:tcPr>
          <w:p w14:paraId="54D193D7" w14:textId="77777777" w:rsidR="00946066" w:rsidRPr="00620688" w:rsidRDefault="00946066" w:rsidP="000F75FC">
            <w:pPr>
              <w:tabs>
                <w:tab w:val="left" w:pos="1080"/>
              </w:tabs>
              <w:spacing w:after="0" w:line="240" w:lineRule="auto"/>
              <w:jc w:val="center"/>
              <w:rPr>
                <w:rFonts w:cstheme="minorHAnsi"/>
                <w:b/>
              </w:rPr>
            </w:pPr>
            <w:r w:rsidRPr="00620688">
              <w:rPr>
                <w:rFonts w:cstheme="minorHAnsi"/>
                <w:b/>
              </w:rPr>
              <w:t>Time frame</w:t>
            </w:r>
          </w:p>
        </w:tc>
        <w:tc>
          <w:tcPr>
            <w:tcW w:w="1372" w:type="dxa"/>
            <w:gridSpan w:val="4"/>
            <w:vMerge w:val="restart"/>
            <w:shd w:val="clear" w:color="auto" w:fill="F3F3F3"/>
          </w:tcPr>
          <w:p w14:paraId="07217ECB" w14:textId="77777777" w:rsidR="00946066" w:rsidRPr="00620688" w:rsidRDefault="00946066" w:rsidP="000F75FC">
            <w:pPr>
              <w:tabs>
                <w:tab w:val="left" w:pos="1080"/>
              </w:tabs>
              <w:spacing w:after="0" w:line="240" w:lineRule="auto"/>
              <w:jc w:val="center"/>
              <w:rPr>
                <w:rFonts w:cstheme="minorHAnsi"/>
                <w:b/>
              </w:rPr>
            </w:pPr>
            <w:r w:rsidRPr="00620688">
              <w:rPr>
                <w:rFonts w:cstheme="minorHAnsi"/>
                <w:b/>
              </w:rPr>
              <w:t>Responsible unit(s)</w:t>
            </w:r>
          </w:p>
        </w:tc>
        <w:tc>
          <w:tcPr>
            <w:tcW w:w="6167" w:type="dxa"/>
            <w:gridSpan w:val="10"/>
            <w:shd w:val="clear" w:color="auto" w:fill="F3F3F3"/>
          </w:tcPr>
          <w:p w14:paraId="2B09E380" w14:textId="77777777" w:rsidR="00946066" w:rsidRPr="00620688" w:rsidRDefault="00946066" w:rsidP="000F75FC">
            <w:pPr>
              <w:tabs>
                <w:tab w:val="left" w:pos="1080"/>
              </w:tabs>
              <w:spacing w:after="0" w:line="240" w:lineRule="auto"/>
              <w:jc w:val="center"/>
              <w:rPr>
                <w:rFonts w:cstheme="minorHAnsi"/>
                <w:b/>
              </w:rPr>
            </w:pPr>
            <w:r w:rsidRPr="00620688">
              <w:rPr>
                <w:rFonts w:cstheme="minorHAnsi"/>
                <w:b/>
              </w:rPr>
              <w:t>Tracking</w:t>
            </w:r>
          </w:p>
        </w:tc>
      </w:tr>
      <w:tr w:rsidR="00946066" w:rsidRPr="00620688" w14:paraId="6E9408D9" w14:textId="77777777" w:rsidTr="00EC17DE">
        <w:tblPrEx>
          <w:tblBorders>
            <w:insideH w:val="single" w:sz="4" w:space="0" w:color="auto"/>
            <w:insideV w:val="single" w:sz="4" w:space="0" w:color="auto"/>
          </w:tblBorders>
        </w:tblPrEx>
        <w:trPr>
          <w:trHeight w:val="263"/>
        </w:trPr>
        <w:tc>
          <w:tcPr>
            <w:tcW w:w="5860" w:type="dxa"/>
            <w:gridSpan w:val="2"/>
            <w:vMerge/>
            <w:tcBorders>
              <w:bottom w:val="single" w:sz="4" w:space="0" w:color="auto"/>
            </w:tcBorders>
            <w:shd w:val="clear" w:color="auto" w:fill="F3F3F3"/>
          </w:tcPr>
          <w:p w14:paraId="29081825" w14:textId="77777777" w:rsidR="00946066" w:rsidRPr="00620688" w:rsidRDefault="00946066" w:rsidP="000F75FC">
            <w:pPr>
              <w:tabs>
                <w:tab w:val="left" w:pos="1080"/>
              </w:tabs>
              <w:spacing w:after="0" w:line="240" w:lineRule="auto"/>
              <w:rPr>
                <w:rFonts w:cstheme="minorHAnsi"/>
              </w:rPr>
            </w:pPr>
          </w:p>
        </w:tc>
        <w:tc>
          <w:tcPr>
            <w:tcW w:w="1158" w:type="dxa"/>
            <w:gridSpan w:val="7"/>
            <w:vMerge/>
            <w:tcBorders>
              <w:bottom w:val="single" w:sz="4" w:space="0" w:color="auto"/>
            </w:tcBorders>
            <w:shd w:val="clear" w:color="auto" w:fill="F3F3F3"/>
          </w:tcPr>
          <w:p w14:paraId="3693090D" w14:textId="77777777" w:rsidR="00946066" w:rsidRPr="00620688" w:rsidRDefault="00946066" w:rsidP="000F75FC">
            <w:pPr>
              <w:tabs>
                <w:tab w:val="left" w:pos="1080"/>
              </w:tabs>
              <w:spacing w:after="0" w:line="240" w:lineRule="auto"/>
              <w:rPr>
                <w:rFonts w:cstheme="minorHAnsi"/>
                <w:b/>
              </w:rPr>
            </w:pPr>
          </w:p>
        </w:tc>
        <w:tc>
          <w:tcPr>
            <w:tcW w:w="1372" w:type="dxa"/>
            <w:gridSpan w:val="4"/>
            <w:vMerge/>
            <w:tcBorders>
              <w:bottom w:val="single" w:sz="4" w:space="0" w:color="auto"/>
            </w:tcBorders>
            <w:shd w:val="clear" w:color="auto" w:fill="F3F3F3"/>
          </w:tcPr>
          <w:p w14:paraId="41CF07BF" w14:textId="77777777" w:rsidR="00946066" w:rsidRPr="00620688" w:rsidRDefault="00946066" w:rsidP="000F75FC">
            <w:pPr>
              <w:tabs>
                <w:tab w:val="left" w:pos="1080"/>
              </w:tabs>
              <w:spacing w:after="0" w:line="240" w:lineRule="auto"/>
              <w:rPr>
                <w:rFonts w:cstheme="minorHAnsi"/>
                <w:b/>
              </w:rPr>
            </w:pPr>
          </w:p>
        </w:tc>
        <w:tc>
          <w:tcPr>
            <w:tcW w:w="1207" w:type="dxa"/>
            <w:gridSpan w:val="3"/>
            <w:tcBorders>
              <w:bottom w:val="single" w:sz="4" w:space="0" w:color="auto"/>
            </w:tcBorders>
          </w:tcPr>
          <w:p w14:paraId="3E6903ED" w14:textId="77777777" w:rsidR="00946066" w:rsidRPr="00620688" w:rsidRDefault="00946066" w:rsidP="000F75FC">
            <w:pPr>
              <w:tabs>
                <w:tab w:val="left" w:pos="1080"/>
              </w:tabs>
              <w:spacing w:after="0" w:line="240" w:lineRule="auto"/>
              <w:jc w:val="center"/>
              <w:rPr>
                <w:rFonts w:cstheme="minorHAnsi"/>
                <w:b/>
              </w:rPr>
            </w:pPr>
            <w:r w:rsidRPr="00620688">
              <w:rPr>
                <w:rFonts w:cstheme="minorHAnsi"/>
                <w:b/>
              </w:rPr>
              <w:t>Comments</w:t>
            </w:r>
          </w:p>
        </w:tc>
        <w:tc>
          <w:tcPr>
            <w:tcW w:w="4960" w:type="dxa"/>
            <w:gridSpan w:val="7"/>
            <w:tcBorders>
              <w:bottom w:val="single" w:sz="4" w:space="0" w:color="auto"/>
            </w:tcBorders>
          </w:tcPr>
          <w:p w14:paraId="5DC87742" w14:textId="77777777" w:rsidR="00946066" w:rsidRPr="00620688" w:rsidRDefault="00946066" w:rsidP="000F75FC">
            <w:pPr>
              <w:tabs>
                <w:tab w:val="left" w:pos="1080"/>
              </w:tabs>
              <w:spacing w:after="0" w:line="240" w:lineRule="auto"/>
              <w:jc w:val="center"/>
              <w:rPr>
                <w:rFonts w:cstheme="minorHAnsi"/>
                <w:b/>
              </w:rPr>
            </w:pPr>
            <w:r w:rsidRPr="00620688">
              <w:rPr>
                <w:rFonts w:cstheme="minorHAnsi"/>
                <w:b/>
              </w:rPr>
              <w:t>Status</w:t>
            </w:r>
          </w:p>
        </w:tc>
      </w:tr>
      <w:tr w:rsidR="00946066" w:rsidRPr="00620688" w14:paraId="4974A0D7" w14:textId="77777777" w:rsidTr="00EC17DE">
        <w:tblPrEx>
          <w:tblBorders>
            <w:insideH w:val="single" w:sz="4" w:space="0" w:color="auto"/>
            <w:insideV w:val="single" w:sz="4" w:space="0" w:color="auto"/>
          </w:tblBorders>
        </w:tblPrEx>
        <w:tc>
          <w:tcPr>
            <w:tcW w:w="5860" w:type="dxa"/>
            <w:gridSpan w:val="2"/>
          </w:tcPr>
          <w:p w14:paraId="77E9783E" w14:textId="28DD1A5E" w:rsidR="00946066" w:rsidRPr="00620688" w:rsidRDefault="00946066" w:rsidP="00155004">
            <w:pPr>
              <w:tabs>
                <w:tab w:val="left" w:pos="1080"/>
              </w:tabs>
              <w:spacing w:after="120" w:line="240" w:lineRule="auto"/>
              <w:rPr>
                <w:rFonts w:cstheme="minorHAnsi"/>
              </w:rPr>
            </w:pPr>
            <w:r w:rsidRPr="00620688">
              <w:rPr>
                <w:rFonts w:cstheme="minorHAnsi"/>
              </w:rPr>
              <w:t xml:space="preserve">2.1 </w:t>
            </w:r>
            <w:r w:rsidR="00B848B7" w:rsidRPr="00620688">
              <w:rPr>
                <w:rFonts w:cstheme="minorHAnsi"/>
              </w:rPr>
              <w:t>S</w:t>
            </w:r>
            <w:r w:rsidRPr="00620688">
              <w:rPr>
                <w:rFonts w:cstheme="minorHAnsi"/>
              </w:rPr>
              <w:t>upport capacity building and awareness raising</w:t>
            </w:r>
            <w:r w:rsidR="00C65478" w:rsidRPr="00620688">
              <w:rPr>
                <w:rFonts w:cstheme="minorHAnsi"/>
              </w:rPr>
              <w:t xml:space="preserve"> among national stakeholders</w:t>
            </w:r>
            <w:r w:rsidRPr="00620688">
              <w:rPr>
                <w:rFonts w:cstheme="minorHAnsi"/>
              </w:rPr>
              <w:t xml:space="preserve"> to ensure proper implementation, promotion and sustainable use of best practices on climate change adaptation, including the experience of the SCRL project</w:t>
            </w:r>
            <w:r w:rsidR="00B848B7" w:rsidRPr="00620688">
              <w:rPr>
                <w:rFonts w:cstheme="minorHAnsi"/>
              </w:rPr>
              <w:t xml:space="preserve"> within the GCF NAP Project</w:t>
            </w:r>
          </w:p>
          <w:p w14:paraId="70D56C88" w14:textId="33379F5D" w:rsidR="00946066" w:rsidRPr="00620688" w:rsidRDefault="00946066" w:rsidP="00155004">
            <w:pPr>
              <w:tabs>
                <w:tab w:val="left" w:pos="1080"/>
              </w:tabs>
              <w:spacing w:after="120" w:line="240" w:lineRule="auto"/>
              <w:rPr>
                <w:rFonts w:cstheme="minorHAnsi"/>
              </w:rPr>
            </w:pPr>
          </w:p>
        </w:tc>
        <w:tc>
          <w:tcPr>
            <w:tcW w:w="1158" w:type="dxa"/>
            <w:gridSpan w:val="7"/>
          </w:tcPr>
          <w:p w14:paraId="46B1901F" w14:textId="1F69616A" w:rsidR="00946066" w:rsidRPr="00620688" w:rsidRDefault="00D76F6F" w:rsidP="00155004">
            <w:pPr>
              <w:tabs>
                <w:tab w:val="left" w:pos="1080"/>
              </w:tabs>
              <w:spacing w:after="120" w:line="240" w:lineRule="auto"/>
              <w:jc w:val="center"/>
              <w:rPr>
                <w:rFonts w:cstheme="minorHAnsi"/>
                <w:lang w:val="en-US"/>
              </w:rPr>
            </w:pPr>
            <w:r w:rsidRPr="00620688">
              <w:rPr>
                <w:rFonts w:cstheme="minorHAnsi"/>
                <w:lang w:val="en-US"/>
              </w:rPr>
              <w:t>2022-</w:t>
            </w:r>
            <w:r w:rsidR="00B848B7" w:rsidRPr="00620688">
              <w:rPr>
                <w:rFonts w:cstheme="minorHAnsi"/>
                <w:lang w:val="en-US"/>
              </w:rPr>
              <w:t>2023</w:t>
            </w:r>
          </w:p>
        </w:tc>
        <w:tc>
          <w:tcPr>
            <w:tcW w:w="1372" w:type="dxa"/>
            <w:gridSpan w:val="4"/>
          </w:tcPr>
          <w:p w14:paraId="24F2D2B3" w14:textId="61470A4B" w:rsidR="00946066" w:rsidRPr="00620688" w:rsidRDefault="00B848B7" w:rsidP="00155004">
            <w:pPr>
              <w:tabs>
                <w:tab w:val="left" w:pos="1080"/>
              </w:tabs>
              <w:spacing w:after="120" w:line="240" w:lineRule="auto"/>
              <w:jc w:val="center"/>
              <w:rPr>
                <w:rFonts w:cstheme="minorHAnsi"/>
                <w:lang w:val="en-US"/>
              </w:rPr>
            </w:pPr>
            <w:r w:rsidRPr="00620688">
              <w:rPr>
                <w:rFonts w:cstheme="minorHAnsi"/>
                <w:lang w:val="en-US"/>
              </w:rPr>
              <w:t>UNDP CO Environment Portfolio</w:t>
            </w:r>
          </w:p>
        </w:tc>
        <w:tc>
          <w:tcPr>
            <w:tcW w:w="1207" w:type="dxa"/>
            <w:gridSpan w:val="3"/>
          </w:tcPr>
          <w:p w14:paraId="1289E3EA" w14:textId="3937EEB9" w:rsidR="00946066" w:rsidRPr="00620688" w:rsidRDefault="00946066" w:rsidP="00155004">
            <w:pPr>
              <w:tabs>
                <w:tab w:val="left" w:pos="1080"/>
              </w:tabs>
              <w:spacing w:after="120" w:line="240" w:lineRule="auto"/>
              <w:rPr>
                <w:rFonts w:cstheme="minorHAnsi"/>
              </w:rPr>
            </w:pPr>
            <w:r w:rsidRPr="00620688">
              <w:rPr>
                <w:rFonts w:cstheme="minorHAnsi"/>
              </w:rPr>
              <w:t xml:space="preserve">Initiated </w:t>
            </w:r>
          </w:p>
        </w:tc>
        <w:tc>
          <w:tcPr>
            <w:tcW w:w="4960" w:type="dxa"/>
            <w:gridSpan w:val="7"/>
          </w:tcPr>
          <w:p w14:paraId="4EF9350A" w14:textId="515E54BE" w:rsidR="00946066" w:rsidRPr="00620688" w:rsidRDefault="00946066" w:rsidP="00155004">
            <w:pPr>
              <w:tabs>
                <w:tab w:val="left" w:pos="1080"/>
              </w:tabs>
              <w:spacing w:after="120" w:line="240" w:lineRule="auto"/>
              <w:rPr>
                <w:rFonts w:cstheme="minorHAnsi"/>
              </w:rPr>
            </w:pPr>
            <w:r w:rsidRPr="00620688">
              <w:rPr>
                <w:rFonts w:cstheme="minorHAnsi"/>
              </w:rPr>
              <w:t xml:space="preserve">The scope </w:t>
            </w:r>
            <w:r w:rsidR="00905A65" w:rsidRPr="00620688">
              <w:rPr>
                <w:rFonts w:cstheme="minorHAnsi"/>
              </w:rPr>
              <w:t xml:space="preserve">of the climate change </w:t>
            </w:r>
            <w:r w:rsidRPr="00620688">
              <w:rPr>
                <w:rFonts w:cstheme="minorHAnsi"/>
              </w:rPr>
              <w:t xml:space="preserve">actions is multisectoral and multilevel. </w:t>
            </w:r>
            <w:r w:rsidR="00D76F6F" w:rsidRPr="00620688">
              <w:rPr>
                <w:rFonts w:cstheme="minorHAnsi"/>
              </w:rPr>
              <w:t xml:space="preserve">Awareness raising and capacity building activities </w:t>
            </w:r>
            <w:r w:rsidR="008A554B" w:rsidRPr="00620688">
              <w:rPr>
                <w:rFonts w:cstheme="minorHAnsi"/>
              </w:rPr>
              <w:t xml:space="preserve">on climate change adaptation </w:t>
            </w:r>
            <w:r w:rsidR="00D76F6F" w:rsidRPr="00620688">
              <w:rPr>
                <w:rFonts w:cstheme="minorHAnsi"/>
              </w:rPr>
              <w:t xml:space="preserve">with the relevant national stakeholders will be continued throughout 2022 and 2023 within the Green Climate Fund Readiness Project on </w:t>
            </w:r>
            <w:r w:rsidR="00D76F6F" w:rsidRPr="00620688">
              <w:rPr>
                <w:rFonts w:cstheme="minorHAnsi"/>
              </w:rPr>
              <w:lastRenderedPageBreak/>
              <w:t>Developing National Adaptation Planning Process, implemented in partnership with the MAEP</w:t>
            </w:r>
            <w:r w:rsidRPr="00620688">
              <w:rPr>
                <w:rFonts w:cstheme="minorHAnsi"/>
              </w:rPr>
              <w:t>.</w:t>
            </w:r>
          </w:p>
        </w:tc>
      </w:tr>
      <w:tr w:rsidR="00946066" w:rsidRPr="00620688" w14:paraId="1AB2F34E" w14:textId="77777777" w:rsidTr="00EC17DE">
        <w:tblPrEx>
          <w:tblBorders>
            <w:insideH w:val="single" w:sz="4" w:space="0" w:color="auto"/>
            <w:insideV w:val="single" w:sz="4" w:space="0" w:color="auto"/>
          </w:tblBorders>
        </w:tblPrEx>
        <w:tc>
          <w:tcPr>
            <w:tcW w:w="5860" w:type="dxa"/>
            <w:gridSpan w:val="2"/>
          </w:tcPr>
          <w:p w14:paraId="5B4AEE9A" w14:textId="6AECBB34" w:rsidR="00946066" w:rsidRPr="00620688" w:rsidRDefault="00946066" w:rsidP="00155004">
            <w:pPr>
              <w:tabs>
                <w:tab w:val="left" w:pos="1080"/>
              </w:tabs>
              <w:spacing w:after="120" w:line="240" w:lineRule="auto"/>
              <w:rPr>
                <w:rFonts w:cstheme="minorHAnsi"/>
              </w:rPr>
            </w:pPr>
            <w:r w:rsidRPr="00620688">
              <w:rPr>
                <w:rFonts w:cstheme="minorHAnsi"/>
              </w:rPr>
              <w:lastRenderedPageBreak/>
              <w:t>2.</w:t>
            </w:r>
            <w:r w:rsidR="00094F1B" w:rsidRPr="00620688">
              <w:rPr>
                <w:rFonts w:cstheme="minorHAnsi"/>
              </w:rPr>
              <w:t>2</w:t>
            </w:r>
            <w:r w:rsidRPr="00620688">
              <w:rPr>
                <w:rFonts w:cstheme="minorHAnsi"/>
              </w:rPr>
              <w:t xml:space="preserve"> </w:t>
            </w:r>
            <w:r w:rsidR="00094F1B" w:rsidRPr="00620688">
              <w:rPr>
                <w:rFonts w:cstheme="minorHAnsi"/>
              </w:rPr>
              <w:t>Support to</w:t>
            </w:r>
            <w:r w:rsidR="00155004" w:rsidRPr="00620688">
              <w:rPr>
                <w:rFonts w:cstheme="minorHAnsi"/>
              </w:rPr>
              <w:t xml:space="preserve"> </w:t>
            </w:r>
            <w:r w:rsidR="00B702F5" w:rsidRPr="00620688">
              <w:rPr>
                <w:rFonts w:cstheme="minorHAnsi"/>
              </w:rPr>
              <w:t>the sustainability of Agro-Information Centers (AICs) through new collaborative initiatives</w:t>
            </w:r>
            <w:r w:rsidR="00094F1B" w:rsidRPr="00620688">
              <w:rPr>
                <w:rFonts w:cstheme="minorHAnsi"/>
              </w:rPr>
              <w:t xml:space="preserve"> with the MAEP within the exiting projects of environment portfolio</w:t>
            </w:r>
            <w:r w:rsidR="00B702F5" w:rsidRPr="00620688">
              <w:rPr>
                <w:rFonts w:cstheme="minorHAnsi"/>
              </w:rPr>
              <w:t>.</w:t>
            </w:r>
          </w:p>
        </w:tc>
        <w:tc>
          <w:tcPr>
            <w:tcW w:w="1158" w:type="dxa"/>
            <w:gridSpan w:val="7"/>
          </w:tcPr>
          <w:p w14:paraId="64B07CA9" w14:textId="4C3DB116" w:rsidR="00946066" w:rsidRPr="00620688" w:rsidDel="00BA6647" w:rsidRDefault="00094F1B" w:rsidP="00155004">
            <w:pPr>
              <w:tabs>
                <w:tab w:val="left" w:pos="1080"/>
              </w:tabs>
              <w:spacing w:after="120"/>
              <w:rPr>
                <w:rFonts w:cstheme="minorHAnsi"/>
              </w:rPr>
            </w:pPr>
            <w:r w:rsidRPr="00620688">
              <w:rPr>
                <w:rFonts w:cstheme="minorHAnsi"/>
                <w:lang w:val="en-US"/>
              </w:rPr>
              <w:t>2022-2023</w:t>
            </w:r>
          </w:p>
        </w:tc>
        <w:tc>
          <w:tcPr>
            <w:tcW w:w="1372" w:type="dxa"/>
            <w:gridSpan w:val="4"/>
          </w:tcPr>
          <w:p w14:paraId="61AB3CC1" w14:textId="015AE563" w:rsidR="00946066" w:rsidRPr="00620688" w:rsidDel="00BA6647" w:rsidRDefault="00094F1B" w:rsidP="00155004">
            <w:pPr>
              <w:tabs>
                <w:tab w:val="left" w:pos="1080"/>
              </w:tabs>
              <w:spacing w:after="120"/>
              <w:jc w:val="center"/>
              <w:rPr>
                <w:rFonts w:cstheme="minorHAnsi"/>
              </w:rPr>
            </w:pPr>
            <w:r w:rsidRPr="00620688">
              <w:rPr>
                <w:rFonts w:cstheme="minorHAnsi"/>
                <w:lang w:val="en-US"/>
              </w:rPr>
              <w:t>UNDP CO Environment Portfolio, MAEP</w:t>
            </w:r>
          </w:p>
        </w:tc>
        <w:tc>
          <w:tcPr>
            <w:tcW w:w="1207" w:type="dxa"/>
            <w:gridSpan w:val="3"/>
          </w:tcPr>
          <w:p w14:paraId="01469E65" w14:textId="02B8C519" w:rsidR="00946066" w:rsidRPr="00620688" w:rsidRDefault="00094F1B" w:rsidP="00155004">
            <w:pPr>
              <w:tabs>
                <w:tab w:val="left" w:pos="1080"/>
              </w:tabs>
              <w:spacing w:after="120"/>
              <w:rPr>
                <w:rFonts w:cstheme="minorHAnsi"/>
              </w:rPr>
            </w:pPr>
            <w:r w:rsidRPr="00620688">
              <w:rPr>
                <w:rFonts w:cstheme="minorHAnsi"/>
              </w:rPr>
              <w:t>Not i</w:t>
            </w:r>
            <w:r w:rsidR="00905A65" w:rsidRPr="00620688">
              <w:rPr>
                <w:rFonts w:cstheme="minorHAnsi"/>
              </w:rPr>
              <w:t>nitiated</w:t>
            </w:r>
          </w:p>
        </w:tc>
        <w:tc>
          <w:tcPr>
            <w:tcW w:w="4960" w:type="dxa"/>
            <w:gridSpan w:val="7"/>
          </w:tcPr>
          <w:p w14:paraId="0D3739D9" w14:textId="54EE3722" w:rsidR="00946066" w:rsidRPr="00620688" w:rsidRDefault="00094F1B" w:rsidP="00155004">
            <w:pPr>
              <w:tabs>
                <w:tab w:val="left" w:pos="1080"/>
              </w:tabs>
              <w:spacing w:after="120" w:line="240" w:lineRule="auto"/>
              <w:rPr>
                <w:rFonts w:cstheme="minorHAnsi"/>
              </w:rPr>
            </w:pPr>
            <w:r w:rsidRPr="00620688">
              <w:rPr>
                <w:rFonts w:cstheme="minorHAnsi"/>
              </w:rPr>
              <w:t xml:space="preserve">Continuation of the </w:t>
            </w:r>
            <w:r w:rsidR="00B702F5" w:rsidRPr="00620688">
              <w:rPr>
                <w:rFonts w:cstheme="minorHAnsi"/>
              </w:rPr>
              <w:t>capacity building work for A</w:t>
            </w:r>
            <w:r w:rsidR="00970494" w:rsidRPr="00620688">
              <w:rPr>
                <w:rFonts w:cstheme="minorHAnsi"/>
              </w:rPr>
              <w:t xml:space="preserve">gro-Information </w:t>
            </w:r>
            <w:r w:rsidR="00B702F5" w:rsidRPr="00620688">
              <w:rPr>
                <w:rFonts w:cstheme="minorHAnsi"/>
              </w:rPr>
              <w:t>C</w:t>
            </w:r>
            <w:r w:rsidR="00970494" w:rsidRPr="00620688">
              <w:rPr>
                <w:rFonts w:cstheme="minorHAnsi"/>
              </w:rPr>
              <w:t>enters (AICs)</w:t>
            </w:r>
            <w:r w:rsidR="00B702F5" w:rsidRPr="00620688">
              <w:rPr>
                <w:rFonts w:cstheme="minorHAnsi"/>
              </w:rPr>
              <w:t xml:space="preserve"> will </w:t>
            </w:r>
            <w:r w:rsidRPr="00620688">
              <w:rPr>
                <w:rFonts w:cstheme="minorHAnsi"/>
              </w:rPr>
              <w:t xml:space="preserve">be discussed with the MAEP </w:t>
            </w:r>
            <w:r w:rsidR="00B702F5" w:rsidRPr="00620688">
              <w:rPr>
                <w:rFonts w:cstheme="minorHAnsi"/>
              </w:rPr>
              <w:t xml:space="preserve">through new initiatives </w:t>
            </w:r>
            <w:r w:rsidRPr="00620688">
              <w:rPr>
                <w:rFonts w:cstheme="minorHAnsi"/>
              </w:rPr>
              <w:t>and newly launched GCF NAP and GEF Amudarya Projects</w:t>
            </w:r>
            <w:r w:rsidR="00642CD7" w:rsidRPr="00620688">
              <w:rPr>
                <w:rFonts w:cstheme="minorHAnsi"/>
              </w:rPr>
              <w:t xml:space="preserve"> and whenever possible</w:t>
            </w:r>
            <w:r w:rsidRPr="00620688">
              <w:rPr>
                <w:rFonts w:cstheme="minorHAnsi"/>
              </w:rPr>
              <w:t>,</w:t>
            </w:r>
            <w:r w:rsidR="00642CD7" w:rsidRPr="00620688">
              <w:rPr>
                <w:rFonts w:cstheme="minorHAnsi"/>
              </w:rPr>
              <w:t xml:space="preserve"> training seminars and other capacity building field activities will be conducted at the AICs. </w:t>
            </w:r>
            <w:r w:rsidRPr="00620688">
              <w:rPr>
                <w:rFonts w:cstheme="minorHAnsi"/>
              </w:rPr>
              <w:t xml:space="preserve"> </w:t>
            </w:r>
          </w:p>
        </w:tc>
      </w:tr>
      <w:tr w:rsidR="00946066" w:rsidRPr="00620688" w14:paraId="39CD5C4F" w14:textId="77777777" w:rsidTr="00EC17DE">
        <w:tblPrEx>
          <w:tblBorders>
            <w:insideH w:val="single" w:sz="4" w:space="0" w:color="auto"/>
            <w:insideV w:val="single" w:sz="4" w:space="0" w:color="auto"/>
          </w:tblBorders>
        </w:tblPrEx>
        <w:tc>
          <w:tcPr>
            <w:tcW w:w="5860" w:type="dxa"/>
            <w:gridSpan w:val="2"/>
          </w:tcPr>
          <w:p w14:paraId="632159FA" w14:textId="5D8C1294" w:rsidR="00946066" w:rsidRPr="00620688" w:rsidRDefault="00946066" w:rsidP="00155004">
            <w:pPr>
              <w:tabs>
                <w:tab w:val="left" w:pos="1080"/>
              </w:tabs>
              <w:spacing w:after="120" w:line="240" w:lineRule="auto"/>
              <w:rPr>
                <w:rFonts w:cstheme="minorHAnsi"/>
              </w:rPr>
            </w:pPr>
            <w:r w:rsidRPr="00620688">
              <w:rPr>
                <w:rFonts w:cstheme="minorHAnsi"/>
              </w:rPr>
              <w:t>2.</w:t>
            </w:r>
            <w:r w:rsidR="00585A41" w:rsidRPr="00620688">
              <w:rPr>
                <w:rFonts w:cstheme="minorHAnsi"/>
              </w:rPr>
              <w:t>3</w:t>
            </w:r>
            <w:r w:rsidRPr="00620688">
              <w:rPr>
                <w:rFonts w:cstheme="minorHAnsi"/>
              </w:rPr>
              <w:t xml:space="preserve"> </w:t>
            </w:r>
            <w:r w:rsidR="002F2AA9" w:rsidRPr="00620688">
              <w:rPr>
                <w:rFonts w:cstheme="minorHAnsi"/>
              </w:rPr>
              <w:t>Facilitat</w:t>
            </w:r>
            <w:r w:rsidR="00923BD5">
              <w:rPr>
                <w:rFonts w:cstheme="minorHAnsi"/>
              </w:rPr>
              <w:t>e</w:t>
            </w:r>
            <w:r w:rsidR="002F2AA9" w:rsidRPr="00620688">
              <w:rPr>
                <w:rFonts w:cstheme="minorHAnsi"/>
              </w:rPr>
              <w:t xml:space="preserve"> the application of the Guid</w:t>
            </w:r>
            <w:r w:rsidR="002B0C4B" w:rsidRPr="00620688">
              <w:rPr>
                <w:rFonts w:cstheme="minorHAnsi"/>
              </w:rPr>
              <w:t xml:space="preserve">elines on </w:t>
            </w:r>
            <w:r w:rsidR="002F2AA9" w:rsidRPr="00620688">
              <w:rPr>
                <w:rFonts w:cstheme="minorHAnsi"/>
              </w:rPr>
              <w:t xml:space="preserve">the </w:t>
            </w:r>
            <w:r w:rsidR="002B0C4B" w:rsidRPr="00620688">
              <w:rPr>
                <w:rFonts w:cstheme="minorHAnsi"/>
              </w:rPr>
              <w:t xml:space="preserve">Mainstreaming </w:t>
            </w:r>
            <w:r w:rsidR="002F2AA9" w:rsidRPr="00620688">
              <w:rPr>
                <w:rFonts w:cstheme="minorHAnsi"/>
              </w:rPr>
              <w:t>Climate Change Adaptation in</w:t>
            </w:r>
            <w:r w:rsidR="002B0C4B" w:rsidRPr="00620688">
              <w:rPr>
                <w:rFonts w:cstheme="minorHAnsi"/>
              </w:rPr>
              <w:t>to</w:t>
            </w:r>
            <w:r w:rsidR="002F2AA9" w:rsidRPr="00620688">
              <w:rPr>
                <w:rFonts w:cstheme="minorHAnsi"/>
              </w:rPr>
              <w:t xml:space="preserve"> the Agriculture and Water Sectors</w:t>
            </w:r>
            <w:r w:rsidR="00585A41" w:rsidRPr="00620688">
              <w:rPr>
                <w:rFonts w:cstheme="minorHAnsi"/>
              </w:rPr>
              <w:t xml:space="preserve"> as well as disseminate the results of the project within the GCF NAP Project</w:t>
            </w:r>
          </w:p>
        </w:tc>
        <w:tc>
          <w:tcPr>
            <w:tcW w:w="1158" w:type="dxa"/>
            <w:gridSpan w:val="7"/>
          </w:tcPr>
          <w:p w14:paraId="1185AD4E" w14:textId="1ABCE48A" w:rsidR="00946066" w:rsidRPr="00620688" w:rsidDel="00BA6647" w:rsidRDefault="00585A41" w:rsidP="00155004">
            <w:pPr>
              <w:tabs>
                <w:tab w:val="left" w:pos="1080"/>
              </w:tabs>
              <w:spacing w:after="120"/>
              <w:rPr>
                <w:rFonts w:cstheme="minorHAnsi"/>
              </w:rPr>
            </w:pPr>
            <w:r w:rsidRPr="00620688">
              <w:rPr>
                <w:rFonts w:cstheme="minorHAnsi"/>
                <w:lang w:val="en-US"/>
              </w:rPr>
              <w:t>2022-2023</w:t>
            </w:r>
          </w:p>
        </w:tc>
        <w:tc>
          <w:tcPr>
            <w:tcW w:w="1372" w:type="dxa"/>
            <w:gridSpan w:val="4"/>
          </w:tcPr>
          <w:p w14:paraId="505648E0" w14:textId="06C4D6C4" w:rsidR="00946066" w:rsidRPr="00620688" w:rsidDel="00BA6647" w:rsidRDefault="00585A41" w:rsidP="00155004">
            <w:pPr>
              <w:tabs>
                <w:tab w:val="left" w:pos="1080"/>
              </w:tabs>
              <w:spacing w:after="120"/>
              <w:rPr>
                <w:rFonts w:cstheme="minorHAnsi"/>
              </w:rPr>
            </w:pPr>
            <w:r w:rsidRPr="00620688">
              <w:rPr>
                <w:rFonts w:cstheme="minorHAnsi"/>
                <w:lang w:val="en-US"/>
              </w:rPr>
              <w:t>UNDP CO Environment Portfolio, MAEP</w:t>
            </w:r>
          </w:p>
        </w:tc>
        <w:tc>
          <w:tcPr>
            <w:tcW w:w="1207" w:type="dxa"/>
            <w:gridSpan w:val="3"/>
          </w:tcPr>
          <w:p w14:paraId="1936946A" w14:textId="625E6802" w:rsidR="00946066" w:rsidRPr="00620688" w:rsidRDefault="00585A41" w:rsidP="00155004">
            <w:pPr>
              <w:tabs>
                <w:tab w:val="left" w:pos="1080"/>
              </w:tabs>
              <w:spacing w:after="120"/>
              <w:rPr>
                <w:rFonts w:cstheme="minorHAnsi"/>
              </w:rPr>
            </w:pPr>
            <w:r w:rsidRPr="00620688">
              <w:rPr>
                <w:rFonts w:cstheme="minorHAnsi"/>
              </w:rPr>
              <w:t>Not i</w:t>
            </w:r>
            <w:r w:rsidR="002F2AA9" w:rsidRPr="00620688">
              <w:rPr>
                <w:rFonts w:cstheme="minorHAnsi"/>
              </w:rPr>
              <w:t xml:space="preserve">nitiated </w:t>
            </w:r>
          </w:p>
        </w:tc>
        <w:tc>
          <w:tcPr>
            <w:tcW w:w="4960" w:type="dxa"/>
            <w:gridSpan w:val="7"/>
          </w:tcPr>
          <w:p w14:paraId="5DE87495" w14:textId="17C9216C" w:rsidR="00946066" w:rsidRPr="00620688" w:rsidRDefault="000D643B" w:rsidP="00155004">
            <w:pPr>
              <w:tabs>
                <w:tab w:val="left" w:pos="1080"/>
              </w:tabs>
              <w:spacing w:after="120" w:line="240" w:lineRule="auto"/>
              <w:rPr>
                <w:rFonts w:cstheme="minorHAnsi"/>
              </w:rPr>
            </w:pPr>
            <w:r w:rsidRPr="00620688">
              <w:rPr>
                <w:rFonts w:cstheme="minorHAnsi"/>
              </w:rPr>
              <w:t xml:space="preserve">The guidelines received by the </w:t>
            </w:r>
            <w:r w:rsidR="002B0C4B" w:rsidRPr="00620688">
              <w:rPr>
                <w:rFonts w:cstheme="minorHAnsi"/>
              </w:rPr>
              <w:t>MAEP</w:t>
            </w:r>
            <w:r w:rsidRPr="00620688">
              <w:rPr>
                <w:rFonts w:cstheme="minorHAnsi"/>
              </w:rPr>
              <w:t xml:space="preserve"> in October 2021 are </w:t>
            </w:r>
            <w:r w:rsidR="002B0C4B" w:rsidRPr="00620688">
              <w:rPr>
                <w:rFonts w:cstheme="minorHAnsi"/>
              </w:rPr>
              <w:t xml:space="preserve">considered </w:t>
            </w:r>
            <w:r w:rsidRPr="00620688">
              <w:rPr>
                <w:rFonts w:cstheme="minorHAnsi"/>
              </w:rPr>
              <w:t xml:space="preserve">as a useful tool for the adaptation planning process. </w:t>
            </w:r>
            <w:r w:rsidR="00585A41" w:rsidRPr="00620688">
              <w:rPr>
                <w:rFonts w:cstheme="minorHAnsi"/>
              </w:rPr>
              <w:t xml:space="preserve">UNDP CO </w:t>
            </w:r>
            <w:r w:rsidRPr="00620688">
              <w:rPr>
                <w:rFonts w:cstheme="minorHAnsi"/>
              </w:rPr>
              <w:t>will</w:t>
            </w:r>
            <w:r w:rsidR="00585A41" w:rsidRPr="00620688">
              <w:rPr>
                <w:rFonts w:cstheme="minorHAnsi"/>
              </w:rPr>
              <w:t xml:space="preserve"> promote the guidelines, its information, l</w:t>
            </w:r>
            <w:r w:rsidRPr="00620688">
              <w:rPr>
                <w:rFonts w:cstheme="minorHAnsi"/>
              </w:rPr>
              <w:t>essons learned</w:t>
            </w:r>
            <w:r w:rsidR="00585A41" w:rsidRPr="00620688">
              <w:rPr>
                <w:rFonts w:cstheme="minorHAnsi"/>
              </w:rPr>
              <w:t xml:space="preserve"> and other key project results on adaptation during the relevant activities within the GCF NAP Project implementation.</w:t>
            </w:r>
          </w:p>
        </w:tc>
      </w:tr>
      <w:tr w:rsidR="00D0560B" w:rsidRPr="00620688" w14:paraId="1840249F" w14:textId="77777777" w:rsidTr="00EC17DE">
        <w:tblPrEx>
          <w:tblBorders>
            <w:insideH w:val="none" w:sz="0" w:space="0" w:color="auto"/>
            <w:insideV w:val="none" w:sz="0" w:space="0" w:color="auto"/>
          </w:tblBorders>
        </w:tblPrEx>
        <w:tc>
          <w:tcPr>
            <w:tcW w:w="14557" w:type="dxa"/>
            <w:gridSpan w:val="23"/>
            <w:shd w:val="clear" w:color="auto" w:fill="F3F3F3"/>
          </w:tcPr>
          <w:p w14:paraId="714EDEEA" w14:textId="52B6CAF9" w:rsidR="00DB009F" w:rsidRPr="00620688" w:rsidRDefault="00D0560B" w:rsidP="00145767">
            <w:pPr>
              <w:spacing w:after="0" w:line="240" w:lineRule="auto"/>
              <w:rPr>
                <w:rFonts w:cstheme="minorHAnsi"/>
                <w:b/>
                <w:bCs/>
                <w:i/>
                <w:iCs/>
                <w:lang w:val="en-US"/>
              </w:rPr>
            </w:pPr>
            <w:r w:rsidRPr="00620688">
              <w:rPr>
                <w:rFonts w:cstheme="minorHAnsi"/>
              </w:rPr>
              <w:br w:type="page"/>
            </w:r>
            <w:r w:rsidRPr="00620688">
              <w:rPr>
                <w:rFonts w:cstheme="minorHAnsi"/>
                <w:b/>
              </w:rPr>
              <w:t xml:space="preserve">Terminal Evaluation recommendation 3. </w:t>
            </w:r>
            <w:r w:rsidR="00DB009F" w:rsidRPr="00620688">
              <w:rPr>
                <w:rFonts w:cstheme="minorHAnsi"/>
                <w:b/>
              </w:rPr>
              <w:t xml:space="preserve"> </w:t>
            </w:r>
            <w:r w:rsidR="00DB009F" w:rsidRPr="00620688">
              <w:rPr>
                <w:rFonts w:cstheme="minorHAnsi"/>
                <w:b/>
                <w:bCs/>
                <w:i/>
                <w:iCs/>
                <w:lang w:val="en-US"/>
              </w:rPr>
              <w:t>Stronger Results Frameworks</w:t>
            </w:r>
          </w:p>
          <w:p w14:paraId="49959463" w14:textId="77777777" w:rsidR="000F75FC" w:rsidRPr="00620688" w:rsidRDefault="000F75FC" w:rsidP="00145767">
            <w:pPr>
              <w:spacing w:after="0" w:line="240" w:lineRule="auto"/>
              <w:rPr>
                <w:rFonts w:cstheme="minorHAnsi"/>
                <w:b/>
                <w:bCs/>
                <w:lang w:val="en-US"/>
              </w:rPr>
            </w:pPr>
          </w:p>
          <w:p w14:paraId="70482B58" w14:textId="77777777" w:rsidR="00DB009F" w:rsidRPr="00620688" w:rsidRDefault="00DB009F" w:rsidP="00145767">
            <w:pPr>
              <w:pStyle w:val="ListParagraph"/>
              <w:numPr>
                <w:ilvl w:val="0"/>
                <w:numId w:val="2"/>
              </w:numPr>
              <w:spacing w:after="120" w:line="240" w:lineRule="auto"/>
              <w:contextualSpacing w:val="0"/>
              <w:rPr>
                <w:rFonts w:cstheme="minorHAnsi"/>
                <w:lang w:val="en-US"/>
              </w:rPr>
            </w:pPr>
            <w:r w:rsidRPr="00620688">
              <w:rPr>
                <w:rFonts w:cstheme="minorHAnsi"/>
              </w:rPr>
              <w:t>In future projects similar to the SCRL project, project stakeholders should</w:t>
            </w:r>
            <w:r w:rsidRPr="00620688">
              <w:rPr>
                <w:rFonts w:cstheme="minorHAnsi"/>
                <w:lang w:val="en-US"/>
              </w:rPr>
              <w:t xml:space="preserve"> identify more meaningful indicators that allow the project team to track and measure progress in a meaningful way. Care should be taken to identify indicators that meet the SMART criteria. These indicators should be defined in clear terms, so that the project team is able to track them effectively.</w:t>
            </w:r>
          </w:p>
          <w:p w14:paraId="5BF75E8A" w14:textId="77777777" w:rsidR="00DB009F" w:rsidRPr="00620688" w:rsidRDefault="00DB009F" w:rsidP="00145767">
            <w:pPr>
              <w:pStyle w:val="ListParagraph"/>
              <w:numPr>
                <w:ilvl w:val="0"/>
                <w:numId w:val="2"/>
              </w:numPr>
              <w:spacing w:after="120" w:line="240" w:lineRule="auto"/>
              <w:contextualSpacing w:val="0"/>
              <w:rPr>
                <w:rFonts w:cstheme="minorHAnsi"/>
                <w:lang w:val="en-US"/>
              </w:rPr>
            </w:pPr>
            <w:r w:rsidRPr="00620688">
              <w:rPr>
                <w:rFonts w:cstheme="minorHAnsi"/>
                <w:lang w:val="en-US"/>
              </w:rPr>
              <w:t xml:space="preserve">Also, sound monitoring systems need to be put in place. The verification of data obtained from the field should be done on the basis of well-defined methodologies that do not leave room for interpretation or uncertainty. </w:t>
            </w:r>
          </w:p>
          <w:p w14:paraId="762F864D" w14:textId="73204DE4" w:rsidR="00D0560B" w:rsidRPr="00620688" w:rsidRDefault="00DB009F" w:rsidP="00145767">
            <w:pPr>
              <w:pStyle w:val="ListParagraph"/>
              <w:numPr>
                <w:ilvl w:val="0"/>
                <w:numId w:val="2"/>
              </w:numPr>
              <w:spacing w:after="120" w:line="240" w:lineRule="auto"/>
              <w:contextualSpacing w:val="0"/>
              <w:rPr>
                <w:rFonts w:cstheme="minorHAnsi"/>
                <w:lang w:val="en-US"/>
              </w:rPr>
            </w:pPr>
            <w:r w:rsidRPr="00620688">
              <w:rPr>
                <w:rFonts w:cstheme="minorHAnsi"/>
                <w:lang w:val="en-US"/>
              </w:rPr>
              <w:t>Similar projects should be designed with a greater focus on the collection and analysis of gender-disaggregated data to guide and monitor project interventions.</w:t>
            </w:r>
          </w:p>
        </w:tc>
      </w:tr>
      <w:tr w:rsidR="00D0560B" w:rsidRPr="00620688" w14:paraId="2688AB7C" w14:textId="77777777" w:rsidTr="00EC17DE">
        <w:tblPrEx>
          <w:tblBorders>
            <w:insideH w:val="none" w:sz="0" w:space="0" w:color="auto"/>
            <w:insideV w:val="none" w:sz="0" w:space="0" w:color="auto"/>
          </w:tblBorders>
        </w:tblPrEx>
        <w:tc>
          <w:tcPr>
            <w:tcW w:w="14557" w:type="dxa"/>
            <w:gridSpan w:val="23"/>
            <w:tcBorders>
              <w:top w:val="single" w:sz="4" w:space="0" w:color="auto"/>
              <w:bottom w:val="single" w:sz="6" w:space="0" w:color="auto"/>
            </w:tcBorders>
            <w:shd w:val="clear" w:color="auto" w:fill="F3F3F3"/>
          </w:tcPr>
          <w:p w14:paraId="6FC9A9EC" w14:textId="2485BBB3" w:rsidR="00D0560B" w:rsidRPr="00620688" w:rsidRDefault="00D0560B" w:rsidP="00EC17DE">
            <w:pPr>
              <w:tabs>
                <w:tab w:val="left" w:pos="1080"/>
              </w:tabs>
              <w:spacing w:line="240" w:lineRule="auto"/>
              <w:rPr>
                <w:rFonts w:cstheme="minorHAnsi"/>
              </w:rPr>
            </w:pPr>
            <w:r w:rsidRPr="00620688">
              <w:rPr>
                <w:rFonts w:cstheme="minorHAnsi"/>
                <w:b/>
              </w:rPr>
              <w:t>Management response</w:t>
            </w:r>
            <w:r w:rsidRPr="00620688">
              <w:rPr>
                <w:rFonts w:cstheme="minorHAnsi"/>
              </w:rPr>
              <w:t xml:space="preserve">: </w:t>
            </w:r>
            <w:r w:rsidR="00BA5E27" w:rsidRPr="00620688">
              <w:rPr>
                <w:rFonts w:cstheme="minorHAnsi"/>
              </w:rPr>
              <w:t xml:space="preserve">The recommendation is partially accepted and addressed through the action below. </w:t>
            </w:r>
            <w:r w:rsidR="000262F4" w:rsidRPr="00620688">
              <w:rPr>
                <w:rFonts w:cstheme="minorHAnsi"/>
              </w:rPr>
              <w:t>UNDP will continue to work closely with the national partners in identifying clear and measurable indicators during the project development phase, including incorporation of gender-focused indicators.</w:t>
            </w:r>
          </w:p>
        </w:tc>
      </w:tr>
      <w:tr w:rsidR="00D0560B" w:rsidRPr="00620688" w14:paraId="707A8E36" w14:textId="77777777" w:rsidTr="00EC17DE">
        <w:tblPrEx>
          <w:tblBorders>
            <w:insideH w:val="none" w:sz="0" w:space="0" w:color="auto"/>
            <w:insideV w:val="none" w:sz="0" w:space="0" w:color="auto"/>
          </w:tblBorders>
        </w:tblPrEx>
        <w:trPr>
          <w:trHeight w:val="135"/>
        </w:trPr>
        <w:tc>
          <w:tcPr>
            <w:tcW w:w="5912" w:type="dxa"/>
            <w:gridSpan w:val="5"/>
            <w:vMerge w:val="restart"/>
            <w:tcBorders>
              <w:top w:val="single" w:sz="6" w:space="0" w:color="auto"/>
              <w:bottom w:val="single" w:sz="6" w:space="0" w:color="auto"/>
              <w:right w:val="single" w:sz="6" w:space="0" w:color="auto"/>
            </w:tcBorders>
            <w:shd w:val="clear" w:color="auto" w:fill="F3F3F3"/>
          </w:tcPr>
          <w:p w14:paraId="64278B7C" w14:textId="77777777" w:rsidR="00D0560B" w:rsidRPr="00620688" w:rsidRDefault="00D0560B" w:rsidP="00FE3C50">
            <w:pPr>
              <w:tabs>
                <w:tab w:val="left" w:pos="1080"/>
              </w:tabs>
              <w:jc w:val="center"/>
              <w:rPr>
                <w:rFonts w:cstheme="minorHAnsi"/>
                <w:b/>
              </w:rPr>
            </w:pPr>
            <w:r w:rsidRPr="00620688">
              <w:rPr>
                <w:rFonts w:cstheme="minorHAnsi"/>
                <w:b/>
              </w:rPr>
              <w:t>Key action(s)</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F3F3F3"/>
          </w:tcPr>
          <w:p w14:paraId="5C1F1346" w14:textId="77777777" w:rsidR="00D0560B" w:rsidRPr="00620688" w:rsidRDefault="00D0560B" w:rsidP="000F75FC">
            <w:pPr>
              <w:tabs>
                <w:tab w:val="left" w:pos="1080"/>
              </w:tabs>
              <w:spacing w:after="0" w:line="240" w:lineRule="auto"/>
              <w:jc w:val="center"/>
              <w:rPr>
                <w:rFonts w:cstheme="minorHAnsi"/>
                <w:b/>
              </w:rPr>
            </w:pPr>
            <w:r w:rsidRPr="00620688">
              <w:rPr>
                <w:rFonts w:cstheme="minorHAnsi"/>
                <w:b/>
              </w:rPr>
              <w:t>Time frame</w:t>
            </w:r>
          </w:p>
        </w:tc>
        <w:tc>
          <w:tcPr>
            <w:tcW w:w="1556" w:type="dxa"/>
            <w:gridSpan w:val="9"/>
            <w:vMerge w:val="restart"/>
            <w:tcBorders>
              <w:top w:val="single" w:sz="6" w:space="0" w:color="auto"/>
              <w:left w:val="single" w:sz="6" w:space="0" w:color="auto"/>
              <w:bottom w:val="single" w:sz="6" w:space="0" w:color="auto"/>
              <w:right w:val="single" w:sz="6" w:space="0" w:color="auto"/>
            </w:tcBorders>
            <w:shd w:val="clear" w:color="auto" w:fill="F3F3F3"/>
          </w:tcPr>
          <w:p w14:paraId="2F334E9B" w14:textId="77777777" w:rsidR="00D0560B" w:rsidRPr="00620688" w:rsidRDefault="00D0560B" w:rsidP="000F75FC">
            <w:pPr>
              <w:tabs>
                <w:tab w:val="left" w:pos="1080"/>
              </w:tabs>
              <w:spacing w:after="0" w:line="240" w:lineRule="auto"/>
              <w:jc w:val="center"/>
              <w:rPr>
                <w:rFonts w:cstheme="minorHAnsi"/>
                <w:b/>
              </w:rPr>
            </w:pPr>
            <w:r w:rsidRPr="00620688">
              <w:rPr>
                <w:rFonts w:cstheme="minorHAnsi"/>
                <w:b/>
              </w:rPr>
              <w:t>Responsible unit(s)</w:t>
            </w:r>
          </w:p>
        </w:tc>
        <w:tc>
          <w:tcPr>
            <w:tcW w:w="6099" w:type="dxa"/>
            <w:gridSpan w:val="8"/>
            <w:tcBorders>
              <w:top w:val="single" w:sz="6" w:space="0" w:color="auto"/>
              <w:left w:val="single" w:sz="6" w:space="0" w:color="auto"/>
              <w:bottom w:val="single" w:sz="6" w:space="0" w:color="auto"/>
            </w:tcBorders>
            <w:shd w:val="clear" w:color="auto" w:fill="F3F3F3"/>
          </w:tcPr>
          <w:p w14:paraId="5E5B528B" w14:textId="77777777" w:rsidR="00D0560B" w:rsidRPr="00620688" w:rsidRDefault="00D0560B" w:rsidP="000F75FC">
            <w:pPr>
              <w:tabs>
                <w:tab w:val="left" w:pos="1080"/>
              </w:tabs>
              <w:spacing w:after="0" w:line="240" w:lineRule="auto"/>
              <w:jc w:val="center"/>
              <w:rPr>
                <w:rFonts w:cstheme="minorHAnsi"/>
                <w:b/>
              </w:rPr>
            </w:pPr>
            <w:r w:rsidRPr="00620688">
              <w:rPr>
                <w:rFonts w:cstheme="minorHAnsi"/>
                <w:b/>
              </w:rPr>
              <w:t>Tracking</w:t>
            </w:r>
          </w:p>
        </w:tc>
      </w:tr>
      <w:tr w:rsidR="00CE5D9C" w:rsidRPr="00620688" w14:paraId="2729847C" w14:textId="77777777" w:rsidTr="00EC17DE">
        <w:tblPrEx>
          <w:tblBorders>
            <w:insideH w:val="none" w:sz="0" w:space="0" w:color="auto"/>
            <w:insideV w:val="none" w:sz="0" w:space="0" w:color="auto"/>
          </w:tblBorders>
        </w:tblPrEx>
        <w:trPr>
          <w:trHeight w:val="363"/>
        </w:trPr>
        <w:tc>
          <w:tcPr>
            <w:tcW w:w="5912" w:type="dxa"/>
            <w:gridSpan w:val="5"/>
            <w:vMerge/>
            <w:tcBorders>
              <w:top w:val="single" w:sz="6" w:space="0" w:color="auto"/>
              <w:bottom w:val="single" w:sz="6" w:space="0" w:color="auto"/>
              <w:right w:val="single" w:sz="6" w:space="0" w:color="auto"/>
            </w:tcBorders>
            <w:shd w:val="clear" w:color="auto" w:fill="F3F3F3"/>
          </w:tcPr>
          <w:p w14:paraId="28AEA727" w14:textId="77777777" w:rsidR="00D0560B" w:rsidRPr="00620688" w:rsidRDefault="00D0560B" w:rsidP="00FE3C50">
            <w:pPr>
              <w:tabs>
                <w:tab w:val="left" w:pos="1080"/>
              </w:tabs>
              <w:rPr>
                <w:rFonts w:cstheme="minorHAnsi"/>
              </w:rPr>
            </w:pPr>
          </w:p>
        </w:tc>
        <w:tc>
          <w:tcPr>
            <w:tcW w:w="990" w:type="dxa"/>
            <w:vMerge/>
            <w:tcBorders>
              <w:top w:val="single" w:sz="6" w:space="0" w:color="auto"/>
              <w:left w:val="single" w:sz="6" w:space="0" w:color="auto"/>
              <w:bottom w:val="single" w:sz="6" w:space="0" w:color="auto"/>
              <w:right w:val="single" w:sz="6" w:space="0" w:color="auto"/>
            </w:tcBorders>
            <w:shd w:val="clear" w:color="auto" w:fill="F3F3F3"/>
          </w:tcPr>
          <w:p w14:paraId="4F4F4E9F" w14:textId="77777777" w:rsidR="00D0560B" w:rsidRPr="00620688" w:rsidRDefault="00D0560B" w:rsidP="000F75FC">
            <w:pPr>
              <w:tabs>
                <w:tab w:val="left" w:pos="1080"/>
              </w:tabs>
              <w:spacing w:after="0" w:line="240" w:lineRule="auto"/>
              <w:rPr>
                <w:rFonts w:cstheme="minorHAnsi"/>
                <w:b/>
              </w:rPr>
            </w:pPr>
          </w:p>
        </w:tc>
        <w:tc>
          <w:tcPr>
            <w:tcW w:w="1556" w:type="dxa"/>
            <w:gridSpan w:val="9"/>
            <w:vMerge/>
            <w:tcBorders>
              <w:top w:val="single" w:sz="6" w:space="0" w:color="auto"/>
              <w:left w:val="single" w:sz="6" w:space="0" w:color="auto"/>
              <w:bottom w:val="single" w:sz="6" w:space="0" w:color="auto"/>
              <w:right w:val="single" w:sz="6" w:space="0" w:color="auto"/>
            </w:tcBorders>
            <w:shd w:val="clear" w:color="auto" w:fill="F3F3F3"/>
          </w:tcPr>
          <w:p w14:paraId="3088003B" w14:textId="77777777" w:rsidR="00D0560B" w:rsidRPr="00620688" w:rsidRDefault="00D0560B" w:rsidP="000F75FC">
            <w:pPr>
              <w:tabs>
                <w:tab w:val="left" w:pos="1080"/>
              </w:tabs>
              <w:spacing w:after="0" w:line="240" w:lineRule="auto"/>
              <w:rPr>
                <w:rFonts w:cstheme="minorHAnsi"/>
                <w:b/>
              </w:rPr>
            </w:pPr>
          </w:p>
        </w:tc>
        <w:tc>
          <w:tcPr>
            <w:tcW w:w="1399" w:type="dxa"/>
            <w:gridSpan w:val="4"/>
            <w:tcBorders>
              <w:top w:val="single" w:sz="6" w:space="0" w:color="auto"/>
              <w:left w:val="single" w:sz="6" w:space="0" w:color="auto"/>
              <w:bottom w:val="single" w:sz="6" w:space="0" w:color="auto"/>
              <w:right w:val="single" w:sz="6" w:space="0" w:color="auto"/>
            </w:tcBorders>
          </w:tcPr>
          <w:p w14:paraId="6C7DA26F" w14:textId="77777777" w:rsidR="00D0560B" w:rsidRPr="00620688" w:rsidRDefault="00D0560B" w:rsidP="000F75FC">
            <w:pPr>
              <w:tabs>
                <w:tab w:val="left" w:pos="1080"/>
              </w:tabs>
              <w:spacing w:after="0" w:line="240" w:lineRule="auto"/>
              <w:jc w:val="center"/>
              <w:rPr>
                <w:rFonts w:cstheme="minorHAnsi"/>
                <w:b/>
              </w:rPr>
            </w:pPr>
            <w:r w:rsidRPr="00620688">
              <w:rPr>
                <w:rFonts w:cstheme="minorHAnsi"/>
                <w:b/>
              </w:rPr>
              <w:t>Comments</w:t>
            </w:r>
          </w:p>
        </w:tc>
        <w:tc>
          <w:tcPr>
            <w:tcW w:w="4700" w:type="dxa"/>
            <w:gridSpan w:val="4"/>
            <w:tcBorders>
              <w:top w:val="single" w:sz="6" w:space="0" w:color="auto"/>
              <w:left w:val="single" w:sz="6" w:space="0" w:color="auto"/>
              <w:bottom w:val="single" w:sz="6" w:space="0" w:color="auto"/>
            </w:tcBorders>
          </w:tcPr>
          <w:p w14:paraId="2ACD75B6" w14:textId="77777777" w:rsidR="00D0560B" w:rsidRPr="00620688" w:rsidRDefault="00D0560B" w:rsidP="000F75FC">
            <w:pPr>
              <w:tabs>
                <w:tab w:val="left" w:pos="1080"/>
              </w:tabs>
              <w:spacing w:after="0" w:line="240" w:lineRule="auto"/>
              <w:jc w:val="center"/>
              <w:rPr>
                <w:rFonts w:cstheme="minorHAnsi"/>
                <w:b/>
              </w:rPr>
            </w:pPr>
            <w:r w:rsidRPr="00620688">
              <w:rPr>
                <w:rFonts w:cstheme="minorHAnsi"/>
                <w:b/>
              </w:rPr>
              <w:t>Status</w:t>
            </w:r>
          </w:p>
        </w:tc>
      </w:tr>
      <w:tr w:rsidR="0089007F" w:rsidRPr="00620688" w14:paraId="14C8CC17" w14:textId="77777777" w:rsidTr="00EC17DE">
        <w:tblPrEx>
          <w:tblBorders>
            <w:insideH w:val="none" w:sz="0" w:space="0" w:color="auto"/>
            <w:insideV w:val="none" w:sz="0" w:space="0" w:color="auto"/>
          </w:tblBorders>
        </w:tblPrEx>
        <w:tc>
          <w:tcPr>
            <w:tcW w:w="5912" w:type="dxa"/>
            <w:gridSpan w:val="5"/>
            <w:tcBorders>
              <w:top w:val="single" w:sz="6" w:space="0" w:color="auto"/>
              <w:bottom w:val="single" w:sz="6" w:space="0" w:color="auto"/>
              <w:right w:val="single" w:sz="6" w:space="0" w:color="auto"/>
            </w:tcBorders>
          </w:tcPr>
          <w:p w14:paraId="23F76E5E" w14:textId="5F20C117" w:rsidR="0089007F" w:rsidRPr="00620688" w:rsidRDefault="0089007F" w:rsidP="0016299F">
            <w:pPr>
              <w:tabs>
                <w:tab w:val="left" w:pos="1080"/>
              </w:tabs>
              <w:spacing w:after="120"/>
              <w:rPr>
                <w:rFonts w:cstheme="minorHAnsi"/>
              </w:rPr>
            </w:pPr>
            <w:r w:rsidRPr="00620688">
              <w:rPr>
                <w:rFonts w:cstheme="minorHAnsi"/>
              </w:rPr>
              <w:lastRenderedPageBreak/>
              <w:t xml:space="preserve">3.1 </w:t>
            </w:r>
            <w:r w:rsidR="00923BD5">
              <w:rPr>
                <w:rFonts w:cstheme="minorHAnsi"/>
              </w:rPr>
              <w:t>E</w:t>
            </w:r>
            <w:r w:rsidR="002F120A" w:rsidRPr="00620688">
              <w:rPr>
                <w:rFonts w:cstheme="minorHAnsi"/>
              </w:rPr>
              <w:t>nhance the work and engagement of</w:t>
            </w:r>
            <w:r w:rsidRPr="00620688">
              <w:rPr>
                <w:rFonts w:cstheme="minorHAnsi"/>
              </w:rPr>
              <w:t xml:space="preserve"> national project partners </w:t>
            </w:r>
            <w:r w:rsidR="002F120A" w:rsidRPr="00620688">
              <w:rPr>
                <w:rFonts w:cstheme="minorHAnsi"/>
              </w:rPr>
              <w:t xml:space="preserve">on identifying, discussing and selecting relevant indicators for the CGF NAP Project. </w:t>
            </w:r>
            <w:r w:rsidR="00923BD5">
              <w:rPr>
                <w:rFonts w:cstheme="minorHAnsi"/>
              </w:rPr>
              <w:t>Conduct a</w:t>
            </w:r>
            <w:r w:rsidR="002F120A" w:rsidRPr="00620688">
              <w:rPr>
                <w:rFonts w:cstheme="minorHAnsi"/>
              </w:rPr>
              <w:t xml:space="preserve"> specific gender analysis to incorporate gender focused issues and activities in the implementation of the GCF NAP Project.</w:t>
            </w:r>
          </w:p>
        </w:tc>
        <w:tc>
          <w:tcPr>
            <w:tcW w:w="990" w:type="dxa"/>
            <w:tcBorders>
              <w:top w:val="single" w:sz="6" w:space="0" w:color="auto"/>
              <w:left w:val="single" w:sz="6" w:space="0" w:color="auto"/>
              <w:bottom w:val="single" w:sz="6" w:space="0" w:color="auto"/>
              <w:right w:val="single" w:sz="6" w:space="0" w:color="auto"/>
            </w:tcBorders>
          </w:tcPr>
          <w:p w14:paraId="6651CD69" w14:textId="1DDD6298" w:rsidR="0089007F" w:rsidRPr="00620688" w:rsidRDefault="002F120A" w:rsidP="0016299F">
            <w:pPr>
              <w:tabs>
                <w:tab w:val="left" w:pos="1080"/>
              </w:tabs>
              <w:spacing w:after="120" w:line="240" w:lineRule="auto"/>
              <w:rPr>
                <w:rFonts w:cstheme="minorHAnsi"/>
              </w:rPr>
            </w:pPr>
            <w:r w:rsidRPr="00620688">
              <w:rPr>
                <w:rFonts w:cstheme="minorHAnsi"/>
                <w:lang w:val="en-US"/>
              </w:rPr>
              <w:t>31 July 2022</w:t>
            </w:r>
          </w:p>
        </w:tc>
        <w:tc>
          <w:tcPr>
            <w:tcW w:w="1556" w:type="dxa"/>
            <w:gridSpan w:val="9"/>
            <w:tcBorders>
              <w:top w:val="single" w:sz="6" w:space="0" w:color="auto"/>
              <w:left w:val="single" w:sz="6" w:space="0" w:color="auto"/>
              <w:bottom w:val="single" w:sz="6" w:space="0" w:color="auto"/>
              <w:right w:val="single" w:sz="6" w:space="0" w:color="auto"/>
            </w:tcBorders>
          </w:tcPr>
          <w:p w14:paraId="6B421700" w14:textId="53C5BEE4" w:rsidR="0089007F" w:rsidRPr="00620688" w:rsidRDefault="0089007F" w:rsidP="0016299F">
            <w:pPr>
              <w:tabs>
                <w:tab w:val="left" w:pos="1080"/>
              </w:tabs>
              <w:spacing w:after="120" w:line="240" w:lineRule="auto"/>
              <w:rPr>
                <w:rFonts w:cstheme="minorHAnsi"/>
              </w:rPr>
            </w:pPr>
            <w:r w:rsidRPr="00620688">
              <w:rPr>
                <w:rFonts w:cstheme="minorHAnsi"/>
                <w:lang w:val="en-US"/>
              </w:rPr>
              <w:t>UNDP</w:t>
            </w:r>
            <w:r w:rsidR="00EC17DE">
              <w:rPr>
                <w:rFonts w:cstheme="minorHAnsi"/>
                <w:lang w:val="en-US"/>
              </w:rPr>
              <w:t>, NAP Project team,</w:t>
            </w:r>
            <w:r w:rsidRPr="00620688">
              <w:rPr>
                <w:rFonts w:cstheme="minorHAnsi"/>
                <w:lang w:val="en-US"/>
              </w:rPr>
              <w:t xml:space="preserve"> </w:t>
            </w:r>
            <w:r w:rsidR="002F120A" w:rsidRPr="00620688">
              <w:rPr>
                <w:rFonts w:cstheme="minorHAnsi"/>
                <w:lang w:val="en-US"/>
              </w:rPr>
              <w:t>MAEP</w:t>
            </w:r>
          </w:p>
        </w:tc>
        <w:tc>
          <w:tcPr>
            <w:tcW w:w="1399" w:type="dxa"/>
            <w:gridSpan w:val="4"/>
            <w:tcBorders>
              <w:top w:val="single" w:sz="6" w:space="0" w:color="auto"/>
              <w:left w:val="single" w:sz="6" w:space="0" w:color="auto"/>
              <w:bottom w:val="single" w:sz="6" w:space="0" w:color="auto"/>
              <w:right w:val="single" w:sz="6" w:space="0" w:color="auto"/>
            </w:tcBorders>
          </w:tcPr>
          <w:p w14:paraId="61793D61" w14:textId="5D248B82" w:rsidR="0089007F" w:rsidRPr="00620688" w:rsidRDefault="0089007F" w:rsidP="0016299F">
            <w:pPr>
              <w:tabs>
                <w:tab w:val="left" w:pos="1080"/>
              </w:tabs>
              <w:spacing w:after="120" w:line="240" w:lineRule="auto"/>
              <w:rPr>
                <w:rFonts w:cstheme="minorHAnsi"/>
              </w:rPr>
            </w:pPr>
            <w:r w:rsidRPr="00620688">
              <w:rPr>
                <w:rFonts w:cstheme="minorHAnsi"/>
              </w:rPr>
              <w:t xml:space="preserve">Not initiated </w:t>
            </w:r>
          </w:p>
        </w:tc>
        <w:tc>
          <w:tcPr>
            <w:tcW w:w="4700" w:type="dxa"/>
            <w:gridSpan w:val="4"/>
            <w:tcBorders>
              <w:top w:val="single" w:sz="6" w:space="0" w:color="auto"/>
              <w:left w:val="single" w:sz="6" w:space="0" w:color="auto"/>
              <w:bottom w:val="single" w:sz="6" w:space="0" w:color="auto"/>
            </w:tcBorders>
          </w:tcPr>
          <w:p w14:paraId="03349F1D" w14:textId="202063EA" w:rsidR="0089007F" w:rsidRPr="00620688" w:rsidRDefault="00F11822" w:rsidP="0016299F">
            <w:pPr>
              <w:tabs>
                <w:tab w:val="left" w:pos="1080"/>
              </w:tabs>
              <w:spacing w:after="120" w:line="240" w:lineRule="auto"/>
              <w:rPr>
                <w:rFonts w:cstheme="minorHAnsi"/>
              </w:rPr>
            </w:pPr>
            <w:r w:rsidRPr="00620688">
              <w:rPr>
                <w:rFonts w:cstheme="minorHAnsi"/>
              </w:rPr>
              <w:t xml:space="preserve">A great </w:t>
            </w:r>
            <w:r w:rsidR="0089007F" w:rsidRPr="00620688">
              <w:rPr>
                <w:rFonts w:cstheme="minorHAnsi"/>
              </w:rPr>
              <w:t xml:space="preserve">attention will be given to define project indicators and ensure that project teams have a clear and correct understanding of each target indicator, how to measure it and effectively track/document achievement. This will be done during </w:t>
            </w:r>
            <w:r w:rsidR="002F120A" w:rsidRPr="00620688">
              <w:rPr>
                <w:rFonts w:cstheme="minorHAnsi"/>
              </w:rPr>
              <w:t>the discussion of relevant indicators within the GCF NAP Project</w:t>
            </w:r>
            <w:r w:rsidR="0089007F" w:rsidRPr="00620688">
              <w:rPr>
                <w:rFonts w:cstheme="minorHAnsi"/>
              </w:rPr>
              <w:t>.</w:t>
            </w:r>
          </w:p>
        </w:tc>
      </w:tr>
      <w:tr w:rsidR="00D0560B" w:rsidRPr="00620688" w14:paraId="69DB4139" w14:textId="77777777" w:rsidTr="00EC17DE">
        <w:tblPrEx>
          <w:tblBorders>
            <w:insideH w:val="none" w:sz="0" w:space="0" w:color="auto"/>
            <w:insideV w:val="none" w:sz="0" w:space="0" w:color="auto"/>
          </w:tblBorders>
        </w:tblPrEx>
        <w:tc>
          <w:tcPr>
            <w:tcW w:w="14557" w:type="dxa"/>
            <w:gridSpan w:val="23"/>
            <w:shd w:val="clear" w:color="auto" w:fill="F3F3F3"/>
          </w:tcPr>
          <w:p w14:paraId="7296A23A" w14:textId="6507174B" w:rsidR="00DB009F" w:rsidRPr="00620688" w:rsidRDefault="00D0560B" w:rsidP="00DB009F">
            <w:pPr>
              <w:jc w:val="both"/>
              <w:rPr>
                <w:rFonts w:cstheme="minorHAnsi"/>
              </w:rPr>
            </w:pPr>
            <w:r w:rsidRPr="00620688">
              <w:rPr>
                <w:rFonts w:cstheme="minorHAnsi"/>
              </w:rPr>
              <w:br w:type="page"/>
            </w:r>
            <w:r w:rsidRPr="00620688">
              <w:rPr>
                <w:rFonts w:cstheme="minorHAnsi"/>
                <w:b/>
              </w:rPr>
              <w:t xml:space="preserve">Terminal Evaluation recommendation 4. </w:t>
            </w:r>
            <w:r w:rsidR="00DB009F" w:rsidRPr="00620688">
              <w:rPr>
                <w:rFonts w:cstheme="minorHAnsi"/>
                <w:b/>
                <w:bCs/>
                <w:i/>
                <w:iCs/>
                <w:lang w:val="en-US"/>
              </w:rPr>
              <w:t>Engagement with the Ministry of Finance and Ministry of Justice</w:t>
            </w:r>
          </w:p>
          <w:p w14:paraId="31DC5F1E" w14:textId="77777777" w:rsidR="00DB009F" w:rsidRPr="00620688" w:rsidRDefault="00DB009F" w:rsidP="00DB009F">
            <w:pPr>
              <w:jc w:val="both"/>
              <w:rPr>
                <w:rFonts w:cstheme="minorHAnsi"/>
              </w:rPr>
            </w:pPr>
            <w:r w:rsidRPr="00620688">
              <w:rPr>
                <w:rFonts w:cstheme="minorHAnsi"/>
              </w:rPr>
              <w:t>In future projects similar to the SCRL project, project stakeholders should be careful to engage more closely the Ministry of Finance and the Ministry of Justice to avoid delays with budget approvals and endorsement of draft laws and regulations.</w:t>
            </w:r>
          </w:p>
          <w:p w14:paraId="3AF7E71F" w14:textId="77777777" w:rsidR="00DB009F" w:rsidRPr="00620688" w:rsidRDefault="00DB009F" w:rsidP="00DB009F">
            <w:pPr>
              <w:jc w:val="both"/>
              <w:rPr>
                <w:rFonts w:cstheme="minorHAnsi"/>
              </w:rPr>
            </w:pPr>
            <w:r w:rsidRPr="00620688">
              <w:rPr>
                <w:rFonts w:cstheme="minorHAnsi"/>
              </w:rPr>
              <w:t>In projects that involve investments from the public sector, it will be essential to have the commitment and involvement of the Ministry of Finance right from the start.</w:t>
            </w:r>
          </w:p>
          <w:p w14:paraId="702C2D85" w14:textId="13286D52" w:rsidR="00D0560B" w:rsidRPr="00620688" w:rsidRDefault="00DB009F" w:rsidP="00EA50B9">
            <w:pPr>
              <w:jc w:val="both"/>
              <w:rPr>
                <w:rFonts w:cstheme="minorHAnsi"/>
              </w:rPr>
            </w:pPr>
            <w:r w:rsidRPr="00620688">
              <w:rPr>
                <w:rFonts w:cstheme="minorHAnsi"/>
              </w:rPr>
              <w:t>In projects that involve changes in the legal framework, it will be important to have the engagement and commitment of the Ministry of Justice.</w:t>
            </w:r>
          </w:p>
        </w:tc>
      </w:tr>
      <w:tr w:rsidR="00D0560B" w:rsidRPr="00620688" w14:paraId="1CF0065B" w14:textId="77777777" w:rsidTr="00EC17DE">
        <w:tblPrEx>
          <w:tblBorders>
            <w:insideH w:val="none" w:sz="0" w:space="0" w:color="auto"/>
            <w:insideV w:val="none" w:sz="0" w:space="0" w:color="auto"/>
          </w:tblBorders>
        </w:tblPrEx>
        <w:tc>
          <w:tcPr>
            <w:tcW w:w="14557" w:type="dxa"/>
            <w:gridSpan w:val="23"/>
            <w:tcBorders>
              <w:top w:val="single" w:sz="4" w:space="0" w:color="auto"/>
              <w:bottom w:val="single" w:sz="6" w:space="0" w:color="auto"/>
            </w:tcBorders>
            <w:shd w:val="clear" w:color="auto" w:fill="F3F3F3"/>
          </w:tcPr>
          <w:p w14:paraId="1B6215EE" w14:textId="217258D1" w:rsidR="00D0560B" w:rsidRPr="00620688" w:rsidRDefault="00D0560B" w:rsidP="00EC17DE">
            <w:pPr>
              <w:tabs>
                <w:tab w:val="left" w:pos="1080"/>
              </w:tabs>
              <w:rPr>
                <w:rFonts w:cstheme="minorHAnsi"/>
              </w:rPr>
            </w:pPr>
            <w:r w:rsidRPr="00620688">
              <w:rPr>
                <w:rFonts w:cstheme="minorHAnsi"/>
                <w:b/>
              </w:rPr>
              <w:t>Management response</w:t>
            </w:r>
            <w:r w:rsidRPr="00620688">
              <w:rPr>
                <w:rFonts w:cstheme="minorHAnsi"/>
              </w:rPr>
              <w:t xml:space="preserve">: </w:t>
            </w:r>
            <w:r w:rsidR="005D6F88" w:rsidRPr="00620688">
              <w:rPr>
                <w:rFonts w:cstheme="minorHAnsi"/>
              </w:rPr>
              <w:t>Th</w:t>
            </w:r>
            <w:r w:rsidR="00923BD5">
              <w:rPr>
                <w:rFonts w:cstheme="minorHAnsi"/>
              </w:rPr>
              <w:t>e</w:t>
            </w:r>
            <w:r w:rsidR="005D6F88" w:rsidRPr="00620688">
              <w:rPr>
                <w:rFonts w:cstheme="minorHAnsi"/>
              </w:rPr>
              <w:t xml:space="preserve"> recommendation is accepted. UNDP CO actively engages both the Ministry of Finance and Economy and the Ministry of Justice in all relevant project and specific activities implementation. The CO has a successful working relationship with the Ministry of Finance and Economy in implementation of a number of Government co-financed projects.</w:t>
            </w:r>
          </w:p>
        </w:tc>
      </w:tr>
      <w:tr w:rsidR="00EC17DE" w:rsidRPr="00620688" w14:paraId="1D6F18EF" w14:textId="77777777" w:rsidTr="00EC17DE">
        <w:tblPrEx>
          <w:tblBorders>
            <w:insideH w:val="none" w:sz="0" w:space="0" w:color="auto"/>
            <w:insideV w:val="none" w:sz="0" w:space="0" w:color="auto"/>
          </w:tblBorders>
        </w:tblPrEx>
        <w:trPr>
          <w:trHeight w:val="228"/>
        </w:trPr>
        <w:tc>
          <w:tcPr>
            <w:tcW w:w="5788" w:type="dxa"/>
            <w:vMerge w:val="restart"/>
            <w:tcBorders>
              <w:top w:val="single" w:sz="6" w:space="0" w:color="auto"/>
              <w:right w:val="single" w:sz="6" w:space="0" w:color="auto"/>
            </w:tcBorders>
            <w:shd w:val="clear" w:color="auto" w:fill="F3F3F3"/>
          </w:tcPr>
          <w:p w14:paraId="3F30A20E" w14:textId="77777777" w:rsidR="00BE3FDB" w:rsidRPr="00620688" w:rsidRDefault="00BE3FDB" w:rsidP="00BE3FDB">
            <w:pPr>
              <w:tabs>
                <w:tab w:val="left" w:pos="1080"/>
              </w:tabs>
              <w:spacing w:after="0" w:line="240" w:lineRule="auto"/>
              <w:jc w:val="center"/>
              <w:rPr>
                <w:rFonts w:cstheme="minorHAnsi"/>
                <w:b/>
              </w:rPr>
            </w:pPr>
            <w:r w:rsidRPr="00620688">
              <w:rPr>
                <w:rFonts w:cstheme="minorHAnsi"/>
                <w:b/>
              </w:rPr>
              <w:t>Key action(s)</w:t>
            </w:r>
          </w:p>
        </w:tc>
        <w:tc>
          <w:tcPr>
            <w:tcW w:w="1162" w:type="dxa"/>
            <w:gridSpan w:val="6"/>
            <w:vMerge w:val="restart"/>
            <w:tcBorders>
              <w:top w:val="single" w:sz="6" w:space="0" w:color="auto"/>
              <w:left w:val="single" w:sz="6" w:space="0" w:color="auto"/>
              <w:right w:val="single" w:sz="6" w:space="0" w:color="auto"/>
            </w:tcBorders>
            <w:shd w:val="clear" w:color="auto" w:fill="F3F3F3"/>
          </w:tcPr>
          <w:p w14:paraId="47C5DA7D" w14:textId="77777777" w:rsidR="00BE3FDB" w:rsidRPr="00620688" w:rsidRDefault="00BE3FDB" w:rsidP="00BE3FDB">
            <w:pPr>
              <w:tabs>
                <w:tab w:val="left" w:pos="1080"/>
              </w:tabs>
              <w:spacing w:after="0" w:line="240" w:lineRule="auto"/>
              <w:jc w:val="center"/>
              <w:rPr>
                <w:rFonts w:cstheme="minorHAnsi"/>
                <w:b/>
              </w:rPr>
            </w:pPr>
            <w:r w:rsidRPr="00620688">
              <w:rPr>
                <w:rFonts w:cstheme="minorHAnsi"/>
                <w:b/>
              </w:rPr>
              <w:t>Time frame</w:t>
            </w:r>
          </w:p>
        </w:tc>
        <w:tc>
          <w:tcPr>
            <w:tcW w:w="1318" w:type="dxa"/>
            <w:gridSpan w:val="3"/>
            <w:vMerge w:val="restart"/>
            <w:tcBorders>
              <w:top w:val="single" w:sz="6" w:space="0" w:color="auto"/>
              <w:left w:val="single" w:sz="6" w:space="0" w:color="auto"/>
              <w:right w:val="single" w:sz="6" w:space="0" w:color="auto"/>
            </w:tcBorders>
            <w:shd w:val="clear" w:color="auto" w:fill="F3F3F3"/>
          </w:tcPr>
          <w:p w14:paraId="0C5BBA5D" w14:textId="77777777" w:rsidR="00BE3FDB" w:rsidRPr="00620688" w:rsidRDefault="00BE3FDB" w:rsidP="00BE3FDB">
            <w:pPr>
              <w:tabs>
                <w:tab w:val="left" w:pos="1080"/>
              </w:tabs>
              <w:spacing w:after="0" w:line="240" w:lineRule="auto"/>
              <w:jc w:val="center"/>
              <w:rPr>
                <w:rFonts w:cstheme="minorHAnsi"/>
                <w:b/>
              </w:rPr>
            </w:pPr>
            <w:r w:rsidRPr="00620688">
              <w:rPr>
                <w:rFonts w:cstheme="minorHAnsi"/>
                <w:b/>
              </w:rPr>
              <w:t>Responsible unit(s)</w:t>
            </w:r>
          </w:p>
        </w:tc>
        <w:tc>
          <w:tcPr>
            <w:tcW w:w="6289" w:type="dxa"/>
            <w:gridSpan w:val="13"/>
            <w:tcBorders>
              <w:top w:val="single" w:sz="6" w:space="0" w:color="auto"/>
              <w:left w:val="single" w:sz="6" w:space="0" w:color="auto"/>
              <w:bottom w:val="single" w:sz="6" w:space="0" w:color="auto"/>
            </w:tcBorders>
            <w:shd w:val="clear" w:color="auto" w:fill="F3F3F3"/>
          </w:tcPr>
          <w:p w14:paraId="36094A2B" w14:textId="77777777" w:rsidR="00BE3FDB" w:rsidRPr="00620688" w:rsidRDefault="00BE3FDB" w:rsidP="00BE3FDB">
            <w:pPr>
              <w:tabs>
                <w:tab w:val="left" w:pos="1080"/>
              </w:tabs>
              <w:spacing w:after="0" w:line="240" w:lineRule="auto"/>
              <w:jc w:val="center"/>
              <w:rPr>
                <w:rFonts w:cstheme="minorHAnsi"/>
                <w:b/>
              </w:rPr>
            </w:pPr>
            <w:r w:rsidRPr="00620688">
              <w:rPr>
                <w:rFonts w:cstheme="minorHAnsi"/>
                <w:b/>
              </w:rPr>
              <w:t>Tracking</w:t>
            </w:r>
          </w:p>
        </w:tc>
      </w:tr>
      <w:tr w:rsidR="00EC17DE" w:rsidRPr="00620688" w14:paraId="4AB6AE73" w14:textId="77777777" w:rsidTr="00EC17DE">
        <w:tblPrEx>
          <w:tblBorders>
            <w:insideH w:val="none" w:sz="0" w:space="0" w:color="auto"/>
            <w:insideV w:val="none" w:sz="0" w:space="0" w:color="auto"/>
          </w:tblBorders>
        </w:tblPrEx>
        <w:trPr>
          <w:trHeight w:val="268"/>
        </w:trPr>
        <w:tc>
          <w:tcPr>
            <w:tcW w:w="5788" w:type="dxa"/>
            <w:vMerge/>
            <w:tcBorders>
              <w:bottom w:val="single" w:sz="6" w:space="0" w:color="auto"/>
              <w:right w:val="single" w:sz="6" w:space="0" w:color="auto"/>
            </w:tcBorders>
            <w:shd w:val="clear" w:color="auto" w:fill="F3F3F3"/>
          </w:tcPr>
          <w:p w14:paraId="4A1C3CF9" w14:textId="77777777" w:rsidR="00BE3FDB" w:rsidRPr="00620688" w:rsidRDefault="00BE3FDB" w:rsidP="00BE3FDB">
            <w:pPr>
              <w:tabs>
                <w:tab w:val="left" w:pos="1080"/>
              </w:tabs>
              <w:spacing w:after="0" w:line="240" w:lineRule="auto"/>
              <w:rPr>
                <w:rFonts w:cstheme="minorHAnsi"/>
              </w:rPr>
            </w:pPr>
          </w:p>
        </w:tc>
        <w:tc>
          <w:tcPr>
            <w:tcW w:w="1162" w:type="dxa"/>
            <w:gridSpan w:val="6"/>
            <w:vMerge/>
            <w:tcBorders>
              <w:left w:val="single" w:sz="6" w:space="0" w:color="auto"/>
              <w:bottom w:val="single" w:sz="6" w:space="0" w:color="auto"/>
              <w:right w:val="single" w:sz="6" w:space="0" w:color="auto"/>
            </w:tcBorders>
            <w:shd w:val="clear" w:color="auto" w:fill="F3F3F3"/>
          </w:tcPr>
          <w:p w14:paraId="385C067B" w14:textId="77777777" w:rsidR="00BE3FDB" w:rsidRPr="00620688" w:rsidRDefault="00BE3FDB" w:rsidP="00BE3FDB">
            <w:pPr>
              <w:tabs>
                <w:tab w:val="left" w:pos="1080"/>
              </w:tabs>
              <w:spacing w:after="0" w:line="240" w:lineRule="auto"/>
              <w:rPr>
                <w:rFonts w:cstheme="minorHAnsi"/>
                <w:b/>
              </w:rPr>
            </w:pPr>
          </w:p>
        </w:tc>
        <w:tc>
          <w:tcPr>
            <w:tcW w:w="1318" w:type="dxa"/>
            <w:gridSpan w:val="3"/>
            <w:vMerge/>
            <w:tcBorders>
              <w:left w:val="single" w:sz="6" w:space="0" w:color="auto"/>
              <w:bottom w:val="single" w:sz="6" w:space="0" w:color="auto"/>
              <w:right w:val="single" w:sz="6" w:space="0" w:color="auto"/>
            </w:tcBorders>
            <w:shd w:val="clear" w:color="auto" w:fill="F3F3F3"/>
          </w:tcPr>
          <w:p w14:paraId="3D717759" w14:textId="77777777" w:rsidR="00BE3FDB" w:rsidRPr="00620688" w:rsidRDefault="00BE3FDB" w:rsidP="00BE3FDB">
            <w:pPr>
              <w:tabs>
                <w:tab w:val="left" w:pos="1080"/>
              </w:tabs>
              <w:spacing w:after="0" w:line="240" w:lineRule="auto"/>
              <w:rPr>
                <w:rFonts w:cstheme="minorHAnsi"/>
                <w:b/>
              </w:rPr>
            </w:pPr>
          </w:p>
        </w:tc>
        <w:tc>
          <w:tcPr>
            <w:tcW w:w="1457" w:type="dxa"/>
            <w:gridSpan w:val="7"/>
            <w:tcBorders>
              <w:top w:val="single" w:sz="6" w:space="0" w:color="auto"/>
              <w:left w:val="single" w:sz="6" w:space="0" w:color="auto"/>
              <w:bottom w:val="single" w:sz="6" w:space="0" w:color="auto"/>
              <w:right w:val="single" w:sz="6" w:space="0" w:color="auto"/>
            </w:tcBorders>
          </w:tcPr>
          <w:p w14:paraId="44FC62EE" w14:textId="77777777" w:rsidR="00BE3FDB" w:rsidRPr="00620688" w:rsidRDefault="00BE3FDB" w:rsidP="00BE3FDB">
            <w:pPr>
              <w:tabs>
                <w:tab w:val="left" w:pos="1080"/>
              </w:tabs>
              <w:spacing w:after="0" w:line="240" w:lineRule="auto"/>
              <w:jc w:val="center"/>
              <w:rPr>
                <w:rFonts w:cstheme="minorHAnsi"/>
                <w:b/>
              </w:rPr>
            </w:pPr>
            <w:r w:rsidRPr="00620688">
              <w:rPr>
                <w:rFonts w:cstheme="minorHAnsi"/>
                <w:b/>
              </w:rPr>
              <w:t>Comments</w:t>
            </w:r>
          </w:p>
        </w:tc>
        <w:tc>
          <w:tcPr>
            <w:tcW w:w="4832" w:type="dxa"/>
            <w:gridSpan w:val="6"/>
            <w:tcBorders>
              <w:top w:val="single" w:sz="6" w:space="0" w:color="auto"/>
              <w:left w:val="single" w:sz="6" w:space="0" w:color="auto"/>
              <w:bottom w:val="single" w:sz="6" w:space="0" w:color="auto"/>
            </w:tcBorders>
          </w:tcPr>
          <w:p w14:paraId="216C16E2" w14:textId="77777777" w:rsidR="00BE3FDB" w:rsidRPr="00620688" w:rsidRDefault="00BE3FDB" w:rsidP="00BE3FDB">
            <w:pPr>
              <w:tabs>
                <w:tab w:val="left" w:pos="1080"/>
              </w:tabs>
              <w:spacing w:after="0" w:line="240" w:lineRule="auto"/>
              <w:jc w:val="center"/>
              <w:rPr>
                <w:rFonts w:cstheme="minorHAnsi"/>
                <w:b/>
              </w:rPr>
            </w:pPr>
            <w:r w:rsidRPr="00620688">
              <w:rPr>
                <w:rFonts w:cstheme="minorHAnsi"/>
                <w:b/>
              </w:rPr>
              <w:t>Status</w:t>
            </w:r>
          </w:p>
        </w:tc>
      </w:tr>
      <w:tr w:rsidR="00EC17DE" w:rsidRPr="00620688" w14:paraId="08877C60" w14:textId="77777777" w:rsidTr="00EC17DE">
        <w:tblPrEx>
          <w:tblBorders>
            <w:insideH w:val="none" w:sz="0" w:space="0" w:color="auto"/>
            <w:insideV w:val="none" w:sz="0" w:space="0" w:color="auto"/>
          </w:tblBorders>
        </w:tblPrEx>
        <w:tc>
          <w:tcPr>
            <w:tcW w:w="5788" w:type="dxa"/>
            <w:tcBorders>
              <w:top w:val="single" w:sz="6" w:space="0" w:color="auto"/>
              <w:bottom w:val="single" w:sz="6" w:space="0" w:color="auto"/>
              <w:right w:val="single" w:sz="6" w:space="0" w:color="auto"/>
            </w:tcBorders>
          </w:tcPr>
          <w:p w14:paraId="1FE5652A" w14:textId="14132978" w:rsidR="00BE3FDB" w:rsidRPr="00620688" w:rsidRDefault="00BE3FDB" w:rsidP="00BE3FDB">
            <w:pPr>
              <w:tabs>
                <w:tab w:val="left" w:pos="1080"/>
              </w:tabs>
              <w:spacing w:after="0" w:line="240" w:lineRule="auto"/>
              <w:rPr>
                <w:rFonts w:cstheme="minorHAnsi"/>
              </w:rPr>
            </w:pPr>
            <w:r w:rsidRPr="00620688">
              <w:rPr>
                <w:rFonts w:cstheme="minorHAnsi"/>
              </w:rPr>
              <w:t>4.1</w:t>
            </w:r>
            <w:r w:rsidR="001B2793" w:rsidRPr="00620688">
              <w:rPr>
                <w:rFonts w:cstheme="minorHAnsi"/>
              </w:rPr>
              <w:t xml:space="preserve"> </w:t>
            </w:r>
            <w:r w:rsidR="00923BD5">
              <w:rPr>
                <w:rFonts w:cstheme="minorHAnsi"/>
              </w:rPr>
              <w:t>E</w:t>
            </w:r>
            <w:r w:rsidR="005D6F88" w:rsidRPr="00620688">
              <w:rPr>
                <w:rFonts w:cstheme="minorHAnsi"/>
              </w:rPr>
              <w:t>nhance cooperation and engagement with the Ministry of Finance and Economy on environmental issues</w:t>
            </w:r>
            <w:r w:rsidR="00620688">
              <w:rPr>
                <w:rFonts w:cstheme="minorHAnsi"/>
              </w:rPr>
              <w:t xml:space="preserve">. More </w:t>
            </w:r>
            <w:r w:rsidR="005D6F88" w:rsidRPr="00620688">
              <w:rPr>
                <w:rFonts w:cstheme="minorHAnsi"/>
              </w:rPr>
              <w:t>specifically</w:t>
            </w:r>
            <w:r w:rsidR="00620688">
              <w:rPr>
                <w:rFonts w:cstheme="minorHAnsi"/>
              </w:rPr>
              <w:t>,</w:t>
            </w:r>
            <w:r w:rsidR="005D6F88" w:rsidRPr="00620688">
              <w:rPr>
                <w:rFonts w:cstheme="minorHAnsi"/>
              </w:rPr>
              <w:t xml:space="preserve"> </w:t>
            </w:r>
            <w:r w:rsidR="00923BD5">
              <w:rPr>
                <w:rFonts w:cstheme="minorHAnsi"/>
              </w:rPr>
              <w:t xml:space="preserve">conduct </w:t>
            </w:r>
            <w:r w:rsidR="005D6F88" w:rsidRPr="00620688">
              <w:rPr>
                <w:rFonts w:cstheme="minorHAnsi"/>
              </w:rPr>
              <w:t>a baseline study, including the assessment of climate finance by the Government within the GCF NAP Project to assess the level of government climate financing and enhance</w:t>
            </w:r>
            <w:r w:rsidR="00620688">
              <w:rPr>
                <w:rFonts w:cstheme="minorHAnsi"/>
              </w:rPr>
              <w:t xml:space="preserve"> the engagement of the Ministry of Finance and Economy in</w:t>
            </w:r>
            <w:r w:rsidR="005D6F88" w:rsidRPr="00620688">
              <w:rPr>
                <w:rFonts w:cstheme="minorHAnsi"/>
              </w:rPr>
              <w:t xml:space="preserve"> cooperation with potential international donors on climate related matters</w:t>
            </w:r>
            <w:r w:rsidR="001B2793" w:rsidRPr="00620688">
              <w:rPr>
                <w:rFonts w:cstheme="minorHAnsi"/>
              </w:rPr>
              <w:t>.</w:t>
            </w:r>
          </w:p>
        </w:tc>
        <w:tc>
          <w:tcPr>
            <w:tcW w:w="1162" w:type="dxa"/>
            <w:gridSpan w:val="6"/>
            <w:tcBorders>
              <w:top w:val="single" w:sz="6" w:space="0" w:color="auto"/>
              <w:left w:val="single" w:sz="6" w:space="0" w:color="auto"/>
              <w:bottom w:val="single" w:sz="6" w:space="0" w:color="auto"/>
              <w:right w:val="single" w:sz="6" w:space="0" w:color="auto"/>
            </w:tcBorders>
          </w:tcPr>
          <w:p w14:paraId="3E66C1A4" w14:textId="74D30972" w:rsidR="00BE3FDB" w:rsidRPr="00620688" w:rsidRDefault="005D6F88" w:rsidP="00BE3FDB">
            <w:pPr>
              <w:tabs>
                <w:tab w:val="left" w:pos="1080"/>
              </w:tabs>
              <w:spacing w:after="0" w:line="240" w:lineRule="auto"/>
              <w:jc w:val="center"/>
              <w:rPr>
                <w:rFonts w:cstheme="minorHAnsi"/>
              </w:rPr>
            </w:pPr>
            <w:r w:rsidRPr="00620688">
              <w:rPr>
                <w:rFonts w:cstheme="minorHAnsi"/>
                <w:lang w:val="en-US"/>
              </w:rPr>
              <w:t>31 August 2022</w:t>
            </w:r>
          </w:p>
        </w:tc>
        <w:tc>
          <w:tcPr>
            <w:tcW w:w="1318" w:type="dxa"/>
            <w:gridSpan w:val="3"/>
            <w:tcBorders>
              <w:top w:val="single" w:sz="6" w:space="0" w:color="auto"/>
              <w:left w:val="single" w:sz="6" w:space="0" w:color="auto"/>
              <w:bottom w:val="single" w:sz="6" w:space="0" w:color="auto"/>
              <w:right w:val="single" w:sz="6" w:space="0" w:color="auto"/>
            </w:tcBorders>
          </w:tcPr>
          <w:p w14:paraId="071F9210" w14:textId="6C6C16BB" w:rsidR="00BE3FDB" w:rsidRPr="00620688" w:rsidRDefault="00BE3FDB" w:rsidP="00BE3FDB">
            <w:pPr>
              <w:tabs>
                <w:tab w:val="left" w:pos="1080"/>
              </w:tabs>
              <w:spacing w:after="0" w:line="240" w:lineRule="auto"/>
              <w:jc w:val="center"/>
              <w:rPr>
                <w:rFonts w:cstheme="minorHAnsi"/>
              </w:rPr>
            </w:pPr>
            <w:r w:rsidRPr="00620688">
              <w:rPr>
                <w:rFonts w:cstheme="minorHAnsi"/>
                <w:lang w:val="en-US"/>
              </w:rPr>
              <w:t xml:space="preserve">UNDP </w:t>
            </w:r>
            <w:r w:rsidR="005D6F88" w:rsidRPr="00620688">
              <w:rPr>
                <w:rFonts w:cstheme="minorHAnsi"/>
                <w:lang w:val="en-US"/>
              </w:rPr>
              <w:t xml:space="preserve">CO </w:t>
            </w:r>
            <w:r w:rsidRPr="00620688">
              <w:rPr>
                <w:rFonts w:cstheme="minorHAnsi"/>
                <w:lang w:val="en-US"/>
              </w:rPr>
              <w:t xml:space="preserve">and </w:t>
            </w:r>
            <w:r w:rsidR="005D6F88" w:rsidRPr="00620688">
              <w:rPr>
                <w:rFonts w:cstheme="minorHAnsi"/>
                <w:lang w:val="en-US"/>
              </w:rPr>
              <w:t>Ministry of Finance and Economy</w:t>
            </w:r>
          </w:p>
        </w:tc>
        <w:tc>
          <w:tcPr>
            <w:tcW w:w="1457" w:type="dxa"/>
            <w:gridSpan w:val="7"/>
            <w:tcBorders>
              <w:top w:val="single" w:sz="6" w:space="0" w:color="auto"/>
              <w:left w:val="single" w:sz="6" w:space="0" w:color="auto"/>
              <w:bottom w:val="single" w:sz="6" w:space="0" w:color="auto"/>
              <w:right w:val="single" w:sz="6" w:space="0" w:color="auto"/>
            </w:tcBorders>
          </w:tcPr>
          <w:p w14:paraId="61332F5A" w14:textId="5C7B0125" w:rsidR="00BE3FDB" w:rsidRPr="00620688" w:rsidRDefault="005D6F88" w:rsidP="00BE3FDB">
            <w:pPr>
              <w:tabs>
                <w:tab w:val="left" w:pos="1080"/>
              </w:tabs>
              <w:spacing w:after="0" w:line="240" w:lineRule="auto"/>
              <w:rPr>
                <w:rFonts w:cstheme="minorHAnsi"/>
              </w:rPr>
            </w:pPr>
            <w:r w:rsidRPr="00620688">
              <w:rPr>
                <w:rFonts w:cstheme="minorHAnsi"/>
              </w:rPr>
              <w:t>Not i</w:t>
            </w:r>
            <w:r w:rsidR="00EF5E2D" w:rsidRPr="00620688">
              <w:rPr>
                <w:rFonts w:cstheme="minorHAnsi"/>
              </w:rPr>
              <w:t xml:space="preserve">nitiated </w:t>
            </w:r>
          </w:p>
        </w:tc>
        <w:tc>
          <w:tcPr>
            <w:tcW w:w="4832" w:type="dxa"/>
            <w:gridSpan w:val="6"/>
            <w:tcBorders>
              <w:top w:val="single" w:sz="6" w:space="0" w:color="auto"/>
              <w:left w:val="single" w:sz="6" w:space="0" w:color="auto"/>
              <w:bottom w:val="single" w:sz="6" w:space="0" w:color="auto"/>
            </w:tcBorders>
          </w:tcPr>
          <w:p w14:paraId="03AC6ABD" w14:textId="529773A8" w:rsidR="00BE3FDB" w:rsidRPr="00620688" w:rsidRDefault="00174AE5" w:rsidP="00FB2368">
            <w:pPr>
              <w:tabs>
                <w:tab w:val="left" w:pos="1080"/>
              </w:tabs>
              <w:spacing w:after="0" w:line="240" w:lineRule="auto"/>
              <w:rPr>
                <w:rFonts w:cstheme="minorHAnsi"/>
              </w:rPr>
            </w:pPr>
            <w:r>
              <w:rPr>
                <w:rFonts w:cstheme="minorHAnsi"/>
              </w:rPr>
              <w:t>UNDP CO has discussed with t</w:t>
            </w:r>
            <w:r w:rsidRPr="00620688">
              <w:rPr>
                <w:rFonts w:cstheme="minorHAnsi"/>
              </w:rPr>
              <w:t>he Ministry of Finance and Economy (MF&amp;E</w:t>
            </w:r>
            <w:r>
              <w:rPr>
                <w:rFonts w:cstheme="minorHAnsi"/>
              </w:rPr>
              <w:t xml:space="preserve">) conducting the assessment of climate financing, which will enable identify government co-financing opportunities </w:t>
            </w:r>
            <w:r w:rsidRPr="00174AE5">
              <w:rPr>
                <w:rFonts w:cstheme="minorHAnsi"/>
                <w:i/>
                <w:iCs/>
              </w:rPr>
              <w:t>vis-a-vis</w:t>
            </w:r>
            <w:r>
              <w:rPr>
                <w:rFonts w:cstheme="minorHAnsi"/>
              </w:rPr>
              <w:t xml:space="preserve">  climate change and environmental programmes funded by the international donors and engage more proactively in the implementation of such programmes and projects. </w:t>
            </w:r>
          </w:p>
        </w:tc>
      </w:tr>
      <w:tr w:rsidR="00EC17DE" w:rsidRPr="00620688" w14:paraId="4220EB7D" w14:textId="77777777" w:rsidTr="00EC17DE">
        <w:tblPrEx>
          <w:tblBorders>
            <w:insideH w:val="none" w:sz="0" w:space="0" w:color="auto"/>
            <w:insideV w:val="none" w:sz="0" w:space="0" w:color="auto"/>
          </w:tblBorders>
        </w:tblPrEx>
        <w:tc>
          <w:tcPr>
            <w:tcW w:w="5788" w:type="dxa"/>
            <w:tcBorders>
              <w:top w:val="single" w:sz="6" w:space="0" w:color="auto"/>
              <w:bottom w:val="single" w:sz="4" w:space="0" w:color="auto"/>
              <w:right w:val="single" w:sz="6" w:space="0" w:color="auto"/>
            </w:tcBorders>
          </w:tcPr>
          <w:p w14:paraId="50BB2CB1" w14:textId="273DC2E0" w:rsidR="001B2793" w:rsidRPr="00620688" w:rsidRDefault="001B2793" w:rsidP="001B2793">
            <w:pPr>
              <w:tabs>
                <w:tab w:val="left" w:pos="1080"/>
              </w:tabs>
              <w:rPr>
                <w:rFonts w:cstheme="minorHAnsi"/>
              </w:rPr>
            </w:pPr>
            <w:r w:rsidRPr="00620688">
              <w:rPr>
                <w:rFonts w:cstheme="minorHAnsi"/>
              </w:rPr>
              <w:lastRenderedPageBreak/>
              <w:t xml:space="preserve">4.2 </w:t>
            </w:r>
            <w:r w:rsidR="00923BD5">
              <w:rPr>
                <w:rFonts w:cstheme="minorHAnsi"/>
              </w:rPr>
              <w:t>I</w:t>
            </w:r>
            <w:r w:rsidR="00174AE5">
              <w:rPr>
                <w:rFonts w:cstheme="minorHAnsi"/>
              </w:rPr>
              <w:t>nvite the Ministry of Finance and Economy and t</w:t>
            </w:r>
            <w:r w:rsidRPr="00620688">
              <w:rPr>
                <w:rFonts w:cstheme="minorHAnsi"/>
              </w:rPr>
              <w:t xml:space="preserve">he Ministry of Justice (Adalat) </w:t>
            </w:r>
            <w:r w:rsidR="00174AE5">
              <w:rPr>
                <w:rFonts w:cstheme="minorHAnsi"/>
              </w:rPr>
              <w:t>into the Project Board Membership of the two new similar Projects – the GCF NAP Project and the GEF Amudarya Project</w:t>
            </w:r>
            <w:r w:rsidR="00EF5E2D" w:rsidRPr="00620688">
              <w:rPr>
                <w:rFonts w:cstheme="minorHAnsi"/>
              </w:rPr>
              <w:t xml:space="preserve"> </w:t>
            </w:r>
          </w:p>
        </w:tc>
        <w:tc>
          <w:tcPr>
            <w:tcW w:w="1162" w:type="dxa"/>
            <w:gridSpan w:val="6"/>
            <w:tcBorders>
              <w:top w:val="single" w:sz="6" w:space="0" w:color="auto"/>
              <w:left w:val="single" w:sz="6" w:space="0" w:color="auto"/>
              <w:bottom w:val="single" w:sz="4" w:space="0" w:color="auto"/>
              <w:right w:val="single" w:sz="6" w:space="0" w:color="auto"/>
            </w:tcBorders>
          </w:tcPr>
          <w:p w14:paraId="37AE5685" w14:textId="7ECD7713" w:rsidR="001B2793" w:rsidRPr="00620688" w:rsidDel="0081599E" w:rsidRDefault="00174AE5" w:rsidP="001B2793">
            <w:pPr>
              <w:tabs>
                <w:tab w:val="left" w:pos="1080"/>
              </w:tabs>
              <w:rPr>
                <w:rFonts w:cstheme="minorHAnsi"/>
              </w:rPr>
            </w:pPr>
            <w:r>
              <w:rPr>
                <w:rFonts w:cstheme="minorHAnsi"/>
              </w:rPr>
              <w:t>30 November 2022</w:t>
            </w:r>
          </w:p>
        </w:tc>
        <w:tc>
          <w:tcPr>
            <w:tcW w:w="1318" w:type="dxa"/>
            <w:gridSpan w:val="3"/>
            <w:tcBorders>
              <w:top w:val="single" w:sz="6" w:space="0" w:color="auto"/>
              <w:left w:val="single" w:sz="6" w:space="0" w:color="auto"/>
              <w:bottom w:val="single" w:sz="4" w:space="0" w:color="auto"/>
              <w:right w:val="single" w:sz="6" w:space="0" w:color="auto"/>
            </w:tcBorders>
          </w:tcPr>
          <w:p w14:paraId="363A0C73" w14:textId="2B9F7D46" w:rsidR="001B2793" w:rsidRPr="00620688" w:rsidDel="0081599E" w:rsidRDefault="001B2793" w:rsidP="001B2793">
            <w:pPr>
              <w:tabs>
                <w:tab w:val="left" w:pos="1080"/>
              </w:tabs>
              <w:rPr>
                <w:rFonts w:cstheme="minorHAnsi"/>
              </w:rPr>
            </w:pPr>
            <w:r w:rsidRPr="00620688">
              <w:rPr>
                <w:rFonts w:cstheme="minorHAnsi"/>
                <w:lang w:val="en-US"/>
              </w:rPr>
              <w:t xml:space="preserve">UNDP </w:t>
            </w:r>
            <w:r w:rsidR="00174AE5">
              <w:rPr>
                <w:rFonts w:cstheme="minorHAnsi"/>
                <w:lang w:val="en-US"/>
              </w:rPr>
              <w:t xml:space="preserve">CO </w:t>
            </w:r>
            <w:r w:rsidRPr="00620688">
              <w:rPr>
                <w:rFonts w:cstheme="minorHAnsi"/>
                <w:lang w:val="en-US"/>
              </w:rPr>
              <w:t>and</w:t>
            </w:r>
            <w:r w:rsidR="00174AE5">
              <w:rPr>
                <w:rFonts w:cstheme="minorHAnsi"/>
                <w:lang w:val="en-US"/>
              </w:rPr>
              <w:t xml:space="preserve"> the</w:t>
            </w:r>
            <w:r w:rsidRPr="00620688">
              <w:rPr>
                <w:rFonts w:cstheme="minorHAnsi"/>
                <w:lang w:val="en-US"/>
              </w:rPr>
              <w:t xml:space="preserve"> </w:t>
            </w:r>
            <w:r w:rsidR="00174AE5">
              <w:rPr>
                <w:rFonts w:cstheme="minorHAnsi"/>
                <w:lang w:val="en-US"/>
              </w:rPr>
              <w:t>MAEP</w:t>
            </w:r>
          </w:p>
        </w:tc>
        <w:tc>
          <w:tcPr>
            <w:tcW w:w="1457" w:type="dxa"/>
            <w:gridSpan w:val="7"/>
            <w:tcBorders>
              <w:top w:val="single" w:sz="6" w:space="0" w:color="auto"/>
              <w:left w:val="single" w:sz="6" w:space="0" w:color="auto"/>
              <w:bottom w:val="single" w:sz="4" w:space="0" w:color="auto"/>
              <w:right w:val="single" w:sz="6" w:space="0" w:color="auto"/>
            </w:tcBorders>
          </w:tcPr>
          <w:p w14:paraId="6BFC7356" w14:textId="42EB9D61" w:rsidR="001B2793" w:rsidRPr="00620688" w:rsidRDefault="00FB2368" w:rsidP="001B2793">
            <w:pPr>
              <w:tabs>
                <w:tab w:val="left" w:pos="1080"/>
              </w:tabs>
              <w:rPr>
                <w:rFonts w:cstheme="minorHAnsi"/>
              </w:rPr>
            </w:pPr>
            <w:r w:rsidRPr="00620688">
              <w:rPr>
                <w:rFonts w:cstheme="minorHAnsi"/>
              </w:rPr>
              <w:t xml:space="preserve">Not initiated </w:t>
            </w:r>
          </w:p>
        </w:tc>
        <w:tc>
          <w:tcPr>
            <w:tcW w:w="4832" w:type="dxa"/>
            <w:gridSpan w:val="6"/>
            <w:tcBorders>
              <w:top w:val="single" w:sz="6" w:space="0" w:color="auto"/>
              <w:left w:val="single" w:sz="6" w:space="0" w:color="auto"/>
              <w:bottom w:val="single" w:sz="4" w:space="0" w:color="auto"/>
            </w:tcBorders>
          </w:tcPr>
          <w:p w14:paraId="4EE1A918" w14:textId="32941719" w:rsidR="001B2793" w:rsidRPr="00620688" w:rsidRDefault="00174AE5" w:rsidP="00FB2368">
            <w:pPr>
              <w:tabs>
                <w:tab w:val="left" w:pos="1080"/>
              </w:tabs>
              <w:spacing w:after="0" w:line="240" w:lineRule="auto"/>
              <w:rPr>
                <w:rFonts w:cstheme="minorHAnsi"/>
              </w:rPr>
            </w:pPr>
            <w:r>
              <w:rPr>
                <w:rFonts w:cstheme="minorHAnsi"/>
              </w:rPr>
              <w:t>During the LPAC meetings of both projects, the idea of including the Ministry of Finance and Economy and the Ministry of Justice has been discussed and supported by LPAC participants. UNDP CO in consultation with the MAEP will make sure to include these ministries into a PB membership.</w:t>
            </w:r>
            <w:r w:rsidR="00006692" w:rsidRPr="00620688">
              <w:rPr>
                <w:rFonts w:cstheme="minorHAnsi"/>
              </w:rPr>
              <w:t xml:space="preserve">  </w:t>
            </w:r>
          </w:p>
        </w:tc>
      </w:tr>
      <w:tr w:rsidR="00EA50B9" w:rsidRPr="00620688" w14:paraId="5F6B59FC" w14:textId="77777777" w:rsidTr="00EC17DE">
        <w:tblPrEx>
          <w:tblBorders>
            <w:insideH w:val="none" w:sz="0" w:space="0" w:color="auto"/>
            <w:insideV w:val="none" w:sz="0" w:space="0" w:color="auto"/>
          </w:tblBorders>
        </w:tblPrEx>
        <w:tc>
          <w:tcPr>
            <w:tcW w:w="14557" w:type="dxa"/>
            <w:gridSpan w:val="23"/>
            <w:shd w:val="clear" w:color="auto" w:fill="F3F3F3"/>
          </w:tcPr>
          <w:p w14:paraId="18A006EB" w14:textId="77777777" w:rsidR="00EA50B9" w:rsidRPr="00620688" w:rsidRDefault="00EA50B9" w:rsidP="00EA50B9">
            <w:pPr>
              <w:jc w:val="both"/>
              <w:rPr>
                <w:rFonts w:cstheme="minorHAnsi"/>
                <w:b/>
                <w:i/>
                <w:lang w:val="en-US"/>
              </w:rPr>
            </w:pPr>
            <w:r w:rsidRPr="00620688">
              <w:rPr>
                <w:rFonts w:cstheme="minorHAnsi"/>
              </w:rPr>
              <w:br w:type="page"/>
            </w:r>
            <w:r w:rsidRPr="00620688">
              <w:rPr>
                <w:rFonts w:cstheme="minorHAnsi"/>
                <w:b/>
              </w:rPr>
              <w:t xml:space="preserve">Terminal Evaluation recommendation 5. </w:t>
            </w:r>
            <w:r w:rsidRPr="00620688">
              <w:rPr>
                <w:rFonts w:cstheme="minorHAnsi"/>
                <w:b/>
                <w:i/>
                <w:lang w:val="en-US"/>
              </w:rPr>
              <w:t>Strengthen Engagement with SDGs at the Sub-national Level</w:t>
            </w:r>
          </w:p>
          <w:p w14:paraId="04EEFCF8" w14:textId="78E60BAD" w:rsidR="00EA50B9" w:rsidRPr="00620688" w:rsidRDefault="00EA50B9" w:rsidP="00EA50B9">
            <w:pPr>
              <w:jc w:val="both"/>
              <w:rPr>
                <w:rFonts w:cstheme="minorHAnsi"/>
                <w:lang w:val="en-US"/>
              </w:rPr>
            </w:pPr>
            <w:r w:rsidRPr="00620688">
              <w:rPr>
                <w:rFonts w:cstheme="minorHAnsi"/>
                <w:lang w:val="en-US"/>
              </w:rPr>
              <w:t>In future projects related to climate change adaptation, GoT and UNDP should consider linking more effectively some of the project activities to the SDG-related activities going on in the country. Project stakeholders should explore how to use the adaptation platform to promote more actively the SDGs at the sub-national level. Such linkages could be ensured by linking adaptation measures to local governance processes, as described earlier in this report.</w:t>
            </w:r>
          </w:p>
        </w:tc>
      </w:tr>
      <w:tr w:rsidR="00EA50B9" w:rsidRPr="00620688" w14:paraId="12D33140" w14:textId="77777777" w:rsidTr="00EC17DE">
        <w:tblPrEx>
          <w:tblBorders>
            <w:insideH w:val="none" w:sz="0" w:space="0" w:color="auto"/>
            <w:insideV w:val="none" w:sz="0" w:space="0" w:color="auto"/>
          </w:tblBorders>
        </w:tblPrEx>
        <w:tc>
          <w:tcPr>
            <w:tcW w:w="14557" w:type="dxa"/>
            <w:gridSpan w:val="23"/>
            <w:tcBorders>
              <w:top w:val="single" w:sz="4" w:space="0" w:color="auto"/>
              <w:bottom w:val="single" w:sz="6" w:space="0" w:color="auto"/>
            </w:tcBorders>
            <w:shd w:val="clear" w:color="auto" w:fill="F3F3F3"/>
          </w:tcPr>
          <w:p w14:paraId="3467F29D" w14:textId="40EBB3DA" w:rsidR="00EA50B9" w:rsidRPr="00620688" w:rsidRDefault="00EA50B9" w:rsidP="00FE3C50">
            <w:pPr>
              <w:tabs>
                <w:tab w:val="left" w:pos="1080"/>
              </w:tabs>
              <w:rPr>
                <w:rFonts w:cstheme="minorHAnsi"/>
              </w:rPr>
            </w:pPr>
            <w:r w:rsidRPr="00620688">
              <w:rPr>
                <w:rFonts w:cstheme="minorHAnsi"/>
                <w:b/>
              </w:rPr>
              <w:t>Management response</w:t>
            </w:r>
            <w:r w:rsidRPr="00620688">
              <w:rPr>
                <w:rFonts w:cstheme="minorHAnsi"/>
              </w:rPr>
              <w:t xml:space="preserve">: </w:t>
            </w:r>
            <w:r w:rsidR="00923BD5">
              <w:rPr>
                <w:rFonts w:cstheme="minorHAnsi"/>
              </w:rPr>
              <w:t>The recommendation is accepted. UNDP will continue cooperation with relevant stakeholders at national and sub-national levels on effectively linking the project activities and results to the relevant SGDs and its indicators adopted by the Government of Turkmenistan</w:t>
            </w:r>
            <w:r w:rsidR="00EC17DE">
              <w:rPr>
                <w:rFonts w:cstheme="minorHAnsi"/>
              </w:rPr>
              <w:t xml:space="preserve"> within its two new projects funded by the GCF and the GEF</w:t>
            </w:r>
            <w:r w:rsidR="00923BD5">
              <w:rPr>
                <w:rFonts w:cstheme="minorHAnsi"/>
              </w:rPr>
              <w:t xml:space="preserve">. </w:t>
            </w:r>
          </w:p>
        </w:tc>
      </w:tr>
      <w:tr w:rsidR="00BE3FDB" w:rsidRPr="00620688" w14:paraId="01976462" w14:textId="77777777" w:rsidTr="00EC17DE">
        <w:tblPrEx>
          <w:tblBorders>
            <w:insideH w:val="none" w:sz="0" w:space="0" w:color="auto"/>
            <w:insideV w:val="none" w:sz="0" w:space="0" w:color="auto"/>
          </w:tblBorders>
        </w:tblPrEx>
        <w:trPr>
          <w:trHeight w:val="318"/>
        </w:trPr>
        <w:tc>
          <w:tcPr>
            <w:tcW w:w="5912" w:type="dxa"/>
            <w:gridSpan w:val="5"/>
            <w:vMerge w:val="restart"/>
            <w:tcBorders>
              <w:top w:val="single" w:sz="6" w:space="0" w:color="auto"/>
              <w:right w:val="single" w:sz="6" w:space="0" w:color="auto"/>
            </w:tcBorders>
            <w:shd w:val="clear" w:color="auto" w:fill="F3F3F3"/>
          </w:tcPr>
          <w:p w14:paraId="4B153147" w14:textId="77777777" w:rsidR="00BE3FDB" w:rsidRPr="00620688" w:rsidRDefault="00BE3FDB" w:rsidP="000B2165">
            <w:pPr>
              <w:tabs>
                <w:tab w:val="left" w:pos="1080"/>
              </w:tabs>
              <w:spacing w:after="0" w:line="240" w:lineRule="auto"/>
              <w:jc w:val="center"/>
              <w:rPr>
                <w:rFonts w:cstheme="minorHAnsi"/>
                <w:b/>
              </w:rPr>
            </w:pPr>
            <w:r w:rsidRPr="00620688">
              <w:rPr>
                <w:rFonts w:cstheme="minorHAnsi"/>
                <w:b/>
              </w:rPr>
              <w:t>Key action(s)</w:t>
            </w:r>
          </w:p>
        </w:tc>
        <w:tc>
          <w:tcPr>
            <w:tcW w:w="990" w:type="dxa"/>
            <w:vMerge w:val="restart"/>
            <w:tcBorders>
              <w:top w:val="single" w:sz="6" w:space="0" w:color="auto"/>
              <w:left w:val="single" w:sz="6" w:space="0" w:color="auto"/>
              <w:right w:val="single" w:sz="6" w:space="0" w:color="auto"/>
            </w:tcBorders>
            <w:shd w:val="clear" w:color="auto" w:fill="F3F3F3"/>
          </w:tcPr>
          <w:p w14:paraId="07104025" w14:textId="77777777" w:rsidR="00BE3FDB" w:rsidRPr="00620688" w:rsidRDefault="00BE3FDB" w:rsidP="000B2165">
            <w:pPr>
              <w:tabs>
                <w:tab w:val="left" w:pos="1080"/>
              </w:tabs>
              <w:spacing w:after="0" w:line="240" w:lineRule="auto"/>
              <w:jc w:val="center"/>
              <w:rPr>
                <w:rFonts w:cstheme="minorHAnsi"/>
                <w:b/>
              </w:rPr>
            </w:pPr>
            <w:r w:rsidRPr="00620688">
              <w:rPr>
                <w:rFonts w:cstheme="minorHAnsi"/>
                <w:b/>
              </w:rPr>
              <w:t>Time frame</w:t>
            </w:r>
          </w:p>
        </w:tc>
        <w:tc>
          <w:tcPr>
            <w:tcW w:w="1440" w:type="dxa"/>
            <w:gridSpan w:val="6"/>
            <w:vMerge w:val="restart"/>
            <w:tcBorders>
              <w:top w:val="single" w:sz="6" w:space="0" w:color="auto"/>
              <w:left w:val="single" w:sz="6" w:space="0" w:color="auto"/>
              <w:right w:val="single" w:sz="6" w:space="0" w:color="auto"/>
            </w:tcBorders>
            <w:shd w:val="clear" w:color="auto" w:fill="F3F3F3"/>
          </w:tcPr>
          <w:p w14:paraId="15798CA2" w14:textId="77777777" w:rsidR="00BE3FDB" w:rsidRPr="00620688" w:rsidRDefault="00BE3FDB" w:rsidP="000B2165">
            <w:pPr>
              <w:tabs>
                <w:tab w:val="left" w:pos="1080"/>
              </w:tabs>
              <w:spacing w:after="0" w:line="240" w:lineRule="auto"/>
              <w:jc w:val="center"/>
              <w:rPr>
                <w:rFonts w:cstheme="minorHAnsi"/>
                <w:b/>
              </w:rPr>
            </w:pPr>
            <w:r w:rsidRPr="00620688">
              <w:rPr>
                <w:rFonts w:cstheme="minorHAnsi"/>
                <w:b/>
              </w:rPr>
              <w:t>Responsible unit(s)</w:t>
            </w:r>
          </w:p>
        </w:tc>
        <w:tc>
          <w:tcPr>
            <w:tcW w:w="6215" w:type="dxa"/>
            <w:gridSpan w:val="11"/>
            <w:tcBorders>
              <w:top w:val="single" w:sz="6" w:space="0" w:color="auto"/>
              <w:left w:val="single" w:sz="6" w:space="0" w:color="auto"/>
              <w:bottom w:val="single" w:sz="6" w:space="0" w:color="auto"/>
            </w:tcBorders>
            <w:shd w:val="clear" w:color="auto" w:fill="F3F3F3"/>
          </w:tcPr>
          <w:p w14:paraId="7314D760" w14:textId="77777777" w:rsidR="00BE3FDB" w:rsidRPr="00620688" w:rsidRDefault="00BE3FDB" w:rsidP="000B2165">
            <w:pPr>
              <w:tabs>
                <w:tab w:val="left" w:pos="1080"/>
              </w:tabs>
              <w:spacing w:after="0" w:line="240" w:lineRule="auto"/>
              <w:jc w:val="center"/>
              <w:rPr>
                <w:rFonts w:cstheme="minorHAnsi"/>
                <w:b/>
              </w:rPr>
            </w:pPr>
            <w:r w:rsidRPr="00620688">
              <w:rPr>
                <w:rFonts w:cstheme="minorHAnsi"/>
                <w:b/>
              </w:rPr>
              <w:t>Tracking</w:t>
            </w:r>
          </w:p>
        </w:tc>
      </w:tr>
      <w:tr w:rsidR="00BE3FDB" w:rsidRPr="00620688" w14:paraId="2BE73A59" w14:textId="77777777" w:rsidTr="00EC17DE">
        <w:tblPrEx>
          <w:tblBorders>
            <w:insideH w:val="none" w:sz="0" w:space="0" w:color="auto"/>
            <w:insideV w:val="none" w:sz="0" w:space="0" w:color="auto"/>
          </w:tblBorders>
        </w:tblPrEx>
        <w:trPr>
          <w:trHeight w:val="390"/>
        </w:trPr>
        <w:tc>
          <w:tcPr>
            <w:tcW w:w="5912" w:type="dxa"/>
            <w:gridSpan w:val="5"/>
            <w:vMerge/>
            <w:tcBorders>
              <w:bottom w:val="single" w:sz="6" w:space="0" w:color="auto"/>
              <w:right w:val="single" w:sz="6" w:space="0" w:color="auto"/>
            </w:tcBorders>
            <w:shd w:val="clear" w:color="auto" w:fill="F3F3F3"/>
          </w:tcPr>
          <w:p w14:paraId="27F2A34C" w14:textId="77777777" w:rsidR="00BE3FDB" w:rsidRPr="00620688" w:rsidRDefault="00BE3FDB" w:rsidP="000B2165">
            <w:pPr>
              <w:tabs>
                <w:tab w:val="left" w:pos="1080"/>
              </w:tabs>
              <w:spacing w:after="0" w:line="240" w:lineRule="auto"/>
              <w:rPr>
                <w:rFonts w:cstheme="minorHAnsi"/>
              </w:rPr>
            </w:pPr>
          </w:p>
        </w:tc>
        <w:tc>
          <w:tcPr>
            <w:tcW w:w="990" w:type="dxa"/>
            <w:vMerge/>
            <w:tcBorders>
              <w:left w:val="single" w:sz="6" w:space="0" w:color="auto"/>
              <w:bottom w:val="single" w:sz="6" w:space="0" w:color="auto"/>
              <w:right w:val="single" w:sz="6" w:space="0" w:color="auto"/>
            </w:tcBorders>
            <w:shd w:val="clear" w:color="auto" w:fill="F3F3F3"/>
          </w:tcPr>
          <w:p w14:paraId="226F6E15" w14:textId="77777777" w:rsidR="00BE3FDB" w:rsidRPr="00620688" w:rsidRDefault="00BE3FDB" w:rsidP="000B2165">
            <w:pPr>
              <w:tabs>
                <w:tab w:val="left" w:pos="1080"/>
              </w:tabs>
              <w:spacing w:after="0" w:line="240" w:lineRule="auto"/>
              <w:rPr>
                <w:rFonts w:cstheme="minorHAnsi"/>
                <w:b/>
              </w:rPr>
            </w:pPr>
          </w:p>
        </w:tc>
        <w:tc>
          <w:tcPr>
            <w:tcW w:w="1440" w:type="dxa"/>
            <w:gridSpan w:val="6"/>
            <w:vMerge/>
            <w:tcBorders>
              <w:left w:val="single" w:sz="6" w:space="0" w:color="auto"/>
              <w:bottom w:val="single" w:sz="6" w:space="0" w:color="auto"/>
              <w:right w:val="single" w:sz="6" w:space="0" w:color="auto"/>
            </w:tcBorders>
            <w:shd w:val="clear" w:color="auto" w:fill="F3F3F3"/>
          </w:tcPr>
          <w:p w14:paraId="27DEE7F2" w14:textId="77777777" w:rsidR="00BE3FDB" w:rsidRPr="00620688" w:rsidRDefault="00BE3FDB" w:rsidP="000B2165">
            <w:pPr>
              <w:tabs>
                <w:tab w:val="left" w:pos="1080"/>
              </w:tabs>
              <w:spacing w:after="0" w:line="240" w:lineRule="auto"/>
              <w:rPr>
                <w:rFonts w:cstheme="minorHAnsi"/>
                <w:b/>
              </w:rPr>
            </w:pPr>
          </w:p>
        </w:tc>
        <w:tc>
          <w:tcPr>
            <w:tcW w:w="1440" w:type="dxa"/>
            <w:gridSpan w:val="6"/>
            <w:tcBorders>
              <w:top w:val="single" w:sz="6" w:space="0" w:color="auto"/>
              <w:left w:val="single" w:sz="6" w:space="0" w:color="auto"/>
              <w:bottom w:val="single" w:sz="6" w:space="0" w:color="auto"/>
              <w:right w:val="single" w:sz="6" w:space="0" w:color="auto"/>
            </w:tcBorders>
          </w:tcPr>
          <w:p w14:paraId="2D74F59C" w14:textId="77777777" w:rsidR="00BE3FDB" w:rsidRPr="00620688" w:rsidRDefault="00BE3FDB" w:rsidP="000B2165">
            <w:pPr>
              <w:tabs>
                <w:tab w:val="left" w:pos="1080"/>
              </w:tabs>
              <w:spacing w:after="0" w:line="240" w:lineRule="auto"/>
              <w:jc w:val="center"/>
              <w:rPr>
                <w:rFonts w:cstheme="minorHAnsi"/>
                <w:b/>
              </w:rPr>
            </w:pPr>
            <w:r w:rsidRPr="00620688">
              <w:rPr>
                <w:rFonts w:cstheme="minorHAnsi"/>
                <w:b/>
              </w:rPr>
              <w:t>Comments</w:t>
            </w:r>
          </w:p>
        </w:tc>
        <w:tc>
          <w:tcPr>
            <w:tcW w:w="4775" w:type="dxa"/>
            <w:gridSpan w:val="5"/>
            <w:tcBorders>
              <w:top w:val="single" w:sz="6" w:space="0" w:color="auto"/>
              <w:left w:val="single" w:sz="6" w:space="0" w:color="auto"/>
              <w:bottom w:val="single" w:sz="6" w:space="0" w:color="auto"/>
            </w:tcBorders>
          </w:tcPr>
          <w:p w14:paraId="7AFF36D3" w14:textId="77777777" w:rsidR="00BE3FDB" w:rsidRPr="00620688" w:rsidRDefault="00BE3FDB" w:rsidP="000B2165">
            <w:pPr>
              <w:tabs>
                <w:tab w:val="left" w:pos="1080"/>
              </w:tabs>
              <w:spacing w:after="0" w:line="240" w:lineRule="auto"/>
              <w:jc w:val="center"/>
              <w:rPr>
                <w:rFonts w:cstheme="minorHAnsi"/>
                <w:b/>
              </w:rPr>
            </w:pPr>
            <w:r w:rsidRPr="00620688">
              <w:rPr>
                <w:rFonts w:cstheme="minorHAnsi"/>
                <w:b/>
              </w:rPr>
              <w:t>Status</w:t>
            </w:r>
          </w:p>
        </w:tc>
      </w:tr>
      <w:tr w:rsidR="00BE3FDB" w:rsidRPr="00620688" w14:paraId="0EA107BE" w14:textId="77777777" w:rsidTr="00EC17DE">
        <w:tblPrEx>
          <w:tblBorders>
            <w:insideH w:val="none" w:sz="0" w:space="0" w:color="auto"/>
            <w:insideV w:val="none" w:sz="0" w:space="0" w:color="auto"/>
          </w:tblBorders>
        </w:tblPrEx>
        <w:tc>
          <w:tcPr>
            <w:tcW w:w="5912" w:type="dxa"/>
            <w:gridSpan w:val="5"/>
            <w:tcBorders>
              <w:top w:val="single" w:sz="6" w:space="0" w:color="auto"/>
              <w:bottom w:val="single" w:sz="6" w:space="0" w:color="auto"/>
              <w:right w:val="single" w:sz="6" w:space="0" w:color="auto"/>
            </w:tcBorders>
          </w:tcPr>
          <w:p w14:paraId="7B2FDF64" w14:textId="46EBB06D" w:rsidR="00BE3FDB" w:rsidRPr="00620688" w:rsidRDefault="00BE3FDB" w:rsidP="00BE3FDB">
            <w:pPr>
              <w:tabs>
                <w:tab w:val="left" w:pos="1080"/>
              </w:tabs>
              <w:spacing w:after="0" w:line="240" w:lineRule="auto"/>
              <w:rPr>
                <w:rFonts w:cstheme="minorHAnsi"/>
              </w:rPr>
            </w:pPr>
            <w:r w:rsidRPr="00620688">
              <w:rPr>
                <w:rFonts w:cstheme="minorHAnsi"/>
              </w:rPr>
              <w:t>5.1</w:t>
            </w:r>
            <w:r w:rsidR="00006692" w:rsidRPr="00620688">
              <w:rPr>
                <w:rFonts w:cstheme="minorHAnsi"/>
              </w:rPr>
              <w:t xml:space="preserve"> </w:t>
            </w:r>
            <w:r w:rsidR="00EC17DE">
              <w:rPr>
                <w:rFonts w:cstheme="minorHAnsi"/>
              </w:rPr>
              <w:t xml:space="preserve">Use positive experience of the SCRL Project on adaptation measures and solutions in the implementation of the GCF NAP and the GEF Amudarya projects with the emphasis of linking the results to relevant SGD indicators adopted by the national partners. </w:t>
            </w:r>
          </w:p>
        </w:tc>
        <w:tc>
          <w:tcPr>
            <w:tcW w:w="990" w:type="dxa"/>
            <w:tcBorders>
              <w:top w:val="single" w:sz="6" w:space="0" w:color="auto"/>
              <w:left w:val="single" w:sz="6" w:space="0" w:color="auto"/>
              <w:bottom w:val="single" w:sz="6" w:space="0" w:color="auto"/>
              <w:right w:val="single" w:sz="6" w:space="0" w:color="auto"/>
            </w:tcBorders>
          </w:tcPr>
          <w:p w14:paraId="769A0047" w14:textId="08833ABC" w:rsidR="00BE3FDB" w:rsidRPr="00620688" w:rsidRDefault="00EC17DE" w:rsidP="00BE3FDB">
            <w:pPr>
              <w:tabs>
                <w:tab w:val="left" w:pos="1080"/>
              </w:tabs>
              <w:spacing w:after="0" w:line="240" w:lineRule="auto"/>
              <w:rPr>
                <w:rFonts w:cstheme="minorHAnsi"/>
              </w:rPr>
            </w:pPr>
            <w:r>
              <w:rPr>
                <w:rFonts w:cstheme="minorHAnsi"/>
                <w:lang w:val="en-US"/>
              </w:rPr>
              <w:t>2023</w:t>
            </w:r>
          </w:p>
        </w:tc>
        <w:tc>
          <w:tcPr>
            <w:tcW w:w="1440" w:type="dxa"/>
            <w:gridSpan w:val="6"/>
            <w:tcBorders>
              <w:top w:val="single" w:sz="6" w:space="0" w:color="auto"/>
              <w:left w:val="single" w:sz="6" w:space="0" w:color="auto"/>
              <w:bottom w:val="single" w:sz="6" w:space="0" w:color="auto"/>
              <w:right w:val="single" w:sz="6" w:space="0" w:color="auto"/>
            </w:tcBorders>
          </w:tcPr>
          <w:p w14:paraId="0D09A067" w14:textId="38D21ED1" w:rsidR="00BE3FDB" w:rsidRPr="00620688" w:rsidRDefault="00BE3FDB" w:rsidP="00BE3FDB">
            <w:pPr>
              <w:tabs>
                <w:tab w:val="left" w:pos="1080"/>
              </w:tabs>
              <w:spacing w:after="0" w:line="240" w:lineRule="auto"/>
              <w:rPr>
                <w:rFonts w:cstheme="minorHAnsi"/>
              </w:rPr>
            </w:pPr>
            <w:r w:rsidRPr="00620688">
              <w:rPr>
                <w:rFonts w:cstheme="minorHAnsi"/>
                <w:lang w:val="en-US"/>
              </w:rPr>
              <w:t xml:space="preserve">UNDP and </w:t>
            </w:r>
            <w:r w:rsidR="00EC17DE">
              <w:rPr>
                <w:rFonts w:cstheme="minorHAnsi"/>
                <w:lang w:val="en-US"/>
              </w:rPr>
              <w:t>the MAEP</w:t>
            </w:r>
          </w:p>
        </w:tc>
        <w:tc>
          <w:tcPr>
            <w:tcW w:w="1440" w:type="dxa"/>
            <w:gridSpan w:val="6"/>
            <w:tcBorders>
              <w:top w:val="single" w:sz="6" w:space="0" w:color="auto"/>
              <w:left w:val="single" w:sz="6" w:space="0" w:color="auto"/>
              <w:bottom w:val="single" w:sz="6" w:space="0" w:color="auto"/>
              <w:right w:val="single" w:sz="6" w:space="0" w:color="auto"/>
            </w:tcBorders>
          </w:tcPr>
          <w:p w14:paraId="455B4597" w14:textId="605CD236" w:rsidR="00BE3FDB" w:rsidRPr="00620688" w:rsidRDefault="00006692" w:rsidP="00BE3FDB">
            <w:pPr>
              <w:tabs>
                <w:tab w:val="left" w:pos="1080"/>
              </w:tabs>
              <w:spacing w:after="0" w:line="240" w:lineRule="auto"/>
              <w:rPr>
                <w:rFonts w:cstheme="minorHAnsi"/>
              </w:rPr>
            </w:pPr>
            <w:r w:rsidRPr="00620688">
              <w:rPr>
                <w:rFonts w:cstheme="minorHAnsi"/>
              </w:rPr>
              <w:t xml:space="preserve">Not initiated </w:t>
            </w:r>
          </w:p>
        </w:tc>
        <w:tc>
          <w:tcPr>
            <w:tcW w:w="4775" w:type="dxa"/>
            <w:gridSpan w:val="5"/>
            <w:tcBorders>
              <w:top w:val="single" w:sz="6" w:space="0" w:color="auto"/>
              <w:left w:val="single" w:sz="6" w:space="0" w:color="auto"/>
              <w:bottom w:val="single" w:sz="6" w:space="0" w:color="auto"/>
            </w:tcBorders>
          </w:tcPr>
          <w:p w14:paraId="59899835" w14:textId="5581948F" w:rsidR="005D1A5E" w:rsidRPr="00620688" w:rsidRDefault="00EC17DE" w:rsidP="00EC17DE">
            <w:pPr>
              <w:tabs>
                <w:tab w:val="left" w:pos="1080"/>
              </w:tabs>
              <w:spacing w:after="0" w:line="240" w:lineRule="auto"/>
              <w:rPr>
                <w:rFonts w:cstheme="minorHAnsi"/>
              </w:rPr>
            </w:pPr>
            <w:r>
              <w:rPr>
                <w:rFonts w:cstheme="minorHAnsi"/>
              </w:rPr>
              <w:t>New p</w:t>
            </w:r>
            <w:r w:rsidR="00006692" w:rsidRPr="00620688">
              <w:rPr>
                <w:rFonts w:cstheme="minorHAnsi"/>
              </w:rPr>
              <w:t>roject</w:t>
            </w:r>
            <w:r>
              <w:rPr>
                <w:rFonts w:cstheme="minorHAnsi"/>
              </w:rPr>
              <w:t>s</w:t>
            </w:r>
            <w:r w:rsidR="00006692" w:rsidRPr="00620688">
              <w:rPr>
                <w:rFonts w:cstheme="minorHAnsi"/>
              </w:rPr>
              <w:t xml:space="preserve"> activities will be designed and </w:t>
            </w:r>
            <w:r w:rsidR="007276C7" w:rsidRPr="00620688">
              <w:rPr>
                <w:rFonts w:cstheme="minorHAnsi"/>
              </w:rPr>
              <w:t>implemented</w:t>
            </w:r>
            <w:r>
              <w:rPr>
                <w:rFonts w:cstheme="minorHAnsi"/>
              </w:rPr>
              <w:t xml:space="preserve"> </w:t>
            </w:r>
            <w:r w:rsidR="00006692" w:rsidRPr="00620688">
              <w:rPr>
                <w:rFonts w:cstheme="minorHAnsi"/>
              </w:rPr>
              <w:t>to take into account their contribution to the achiev</w:t>
            </w:r>
            <w:r w:rsidR="007276C7" w:rsidRPr="00620688">
              <w:rPr>
                <w:rFonts w:cstheme="minorHAnsi"/>
              </w:rPr>
              <w:t xml:space="preserve">ing </w:t>
            </w:r>
            <w:r w:rsidR="00006692" w:rsidRPr="00620688">
              <w:rPr>
                <w:rFonts w:cstheme="minorHAnsi"/>
              </w:rPr>
              <w:t xml:space="preserve">those (sub) national SDG targets adopted in the country that are relevant to a </w:t>
            </w:r>
            <w:r w:rsidR="007276C7" w:rsidRPr="00620688">
              <w:rPr>
                <w:rFonts w:cstheme="minorHAnsi"/>
              </w:rPr>
              <w:t xml:space="preserve">specific </w:t>
            </w:r>
            <w:r w:rsidR="00006692" w:rsidRPr="00620688">
              <w:rPr>
                <w:rFonts w:cstheme="minorHAnsi"/>
              </w:rPr>
              <w:t>project.</w:t>
            </w:r>
          </w:p>
        </w:tc>
      </w:tr>
      <w:tr w:rsidR="00EA50B9" w:rsidRPr="00620688" w14:paraId="09AB27FF" w14:textId="77777777" w:rsidTr="00EC17DE">
        <w:tblPrEx>
          <w:tblBorders>
            <w:insideH w:val="none" w:sz="0" w:space="0" w:color="auto"/>
            <w:insideV w:val="none" w:sz="0" w:space="0" w:color="auto"/>
          </w:tblBorders>
        </w:tblPrEx>
        <w:tc>
          <w:tcPr>
            <w:tcW w:w="14557" w:type="dxa"/>
            <w:gridSpan w:val="23"/>
            <w:shd w:val="clear" w:color="auto" w:fill="F3F3F3"/>
          </w:tcPr>
          <w:p w14:paraId="740A9FF9" w14:textId="77777777" w:rsidR="00EA50B9" w:rsidRPr="00620688" w:rsidRDefault="00EA50B9" w:rsidP="00EA50B9">
            <w:pPr>
              <w:jc w:val="both"/>
              <w:rPr>
                <w:rFonts w:cstheme="minorHAnsi"/>
                <w:b/>
                <w:bCs/>
                <w:lang w:val="en-US"/>
              </w:rPr>
            </w:pPr>
            <w:r w:rsidRPr="00620688">
              <w:rPr>
                <w:rFonts w:cstheme="minorHAnsi"/>
              </w:rPr>
              <w:br w:type="page"/>
            </w:r>
            <w:r w:rsidRPr="00620688">
              <w:rPr>
                <w:rFonts w:cstheme="minorHAnsi"/>
                <w:b/>
              </w:rPr>
              <w:t xml:space="preserve">Terminal Evaluation recommendation 6. </w:t>
            </w:r>
            <w:r w:rsidRPr="00620688">
              <w:rPr>
                <w:rFonts w:cstheme="minorHAnsi"/>
                <w:b/>
                <w:i/>
                <w:lang w:val="en-US"/>
              </w:rPr>
              <w:t>Greater Focus on Gender Mainstreaming</w:t>
            </w:r>
          </w:p>
          <w:p w14:paraId="42EFEEDB" w14:textId="0AAEDBC7" w:rsidR="00EA50B9" w:rsidRPr="00620688" w:rsidRDefault="00EA50B9" w:rsidP="00EA50B9">
            <w:pPr>
              <w:jc w:val="both"/>
              <w:rPr>
                <w:rFonts w:cstheme="minorHAnsi"/>
                <w:b/>
                <w:lang w:val="en-US"/>
              </w:rPr>
            </w:pPr>
            <w:r w:rsidRPr="00620688">
              <w:rPr>
                <w:rFonts w:cstheme="minorHAnsi"/>
              </w:rPr>
              <w:t xml:space="preserve">In future projects similar to the SCRL project, project stakeholders should include </w:t>
            </w:r>
            <w:r w:rsidRPr="00620688">
              <w:rPr>
                <w:rFonts w:cstheme="minorHAnsi"/>
                <w:lang w:val="en-US"/>
              </w:rPr>
              <w:t>a dedicated gender expert in the design of the project. The involvement of a gender specialist in the project will contribute to a more effective mainstreaming of gender in the project and a more even distribution of responsibilities within the team, allowing other specialists to focus on other priority areas</w:t>
            </w:r>
          </w:p>
        </w:tc>
      </w:tr>
      <w:tr w:rsidR="00EA50B9" w:rsidRPr="00620688" w14:paraId="16287A57" w14:textId="77777777" w:rsidTr="00EC17DE">
        <w:tblPrEx>
          <w:tblBorders>
            <w:insideH w:val="none" w:sz="0" w:space="0" w:color="auto"/>
            <w:insideV w:val="none" w:sz="0" w:space="0" w:color="auto"/>
          </w:tblBorders>
        </w:tblPrEx>
        <w:tc>
          <w:tcPr>
            <w:tcW w:w="14557" w:type="dxa"/>
            <w:gridSpan w:val="23"/>
            <w:tcBorders>
              <w:top w:val="single" w:sz="4" w:space="0" w:color="auto"/>
              <w:bottom w:val="single" w:sz="6" w:space="0" w:color="auto"/>
            </w:tcBorders>
            <w:shd w:val="clear" w:color="auto" w:fill="F3F3F3"/>
          </w:tcPr>
          <w:p w14:paraId="062A0C5A" w14:textId="3E22D327" w:rsidR="00EA50B9" w:rsidRPr="00620688" w:rsidRDefault="00EA50B9" w:rsidP="00FE3C50">
            <w:pPr>
              <w:tabs>
                <w:tab w:val="left" w:pos="1080"/>
              </w:tabs>
              <w:rPr>
                <w:rFonts w:cstheme="minorHAnsi"/>
              </w:rPr>
            </w:pPr>
            <w:r w:rsidRPr="00620688">
              <w:rPr>
                <w:rFonts w:cstheme="minorHAnsi"/>
                <w:b/>
              </w:rPr>
              <w:lastRenderedPageBreak/>
              <w:t>Management response</w:t>
            </w:r>
            <w:r w:rsidRPr="00620688">
              <w:rPr>
                <w:rFonts w:cstheme="minorHAnsi"/>
              </w:rPr>
              <w:t xml:space="preserve">: </w:t>
            </w:r>
            <w:r w:rsidR="00EC17DE">
              <w:rPr>
                <w:rFonts w:cstheme="minorHAnsi"/>
              </w:rPr>
              <w:t xml:space="preserve">The recommendation is accepted. All new projects are being developed </w:t>
            </w:r>
            <w:r w:rsidR="00EC17DE" w:rsidRPr="00EC17DE">
              <w:rPr>
                <w:color w:val="000000" w:themeColor="text1"/>
              </w:rPr>
              <w:t>fully in-line with and supportive of both the GEF’s and UNDP’s gender mainstreaming policies</w:t>
            </w:r>
            <w:r w:rsidR="00EC17DE">
              <w:rPr>
                <w:color w:val="000000" w:themeColor="text1"/>
              </w:rPr>
              <w:t>. A gender consultant is recruited during the project development phase to develop a Gender Action Plan to be implemented during the project and gender issues are being regularly raised and discussed with the key national partners.</w:t>
            </w:r>
          </w:p>
        </w:tc>
      </w:tr>
      <w:tr w:rsidR="00EA50B9" w:rsidRPr="00620688" w14:paraId="4AABD615" w14:textId="77777777" w:rsidTr="00EC17DE">
        <w:tblPrEx>
          <w:tblBorders>
            <w:insideH w:val="none" w:sz="0" w:space="0" w:color="auto"/>
            <w:insideV w:val="none" w:sz="0" w:space="0" w:color="auto"/>
          </w:tblBorders>
        </w:tblPrEx>
        <w:trPr>
          <w:trHeight w:val="165"/>
        </w:trPr>
        <w:tc>
          <w:tcPr>
            <w:tcW w:w="5880" w:type="dxa"/>
            <w:gridSpan w:val="3"/>
            <w:vMerge w:val="restart"/>
            <w:tcBorders>
              <w:top w:val="single" w:sz="6" w:space="0" w:color="auto"/>
              <w:bottom w:val="single" w:sz="6" w:space="0" w:color="auto"/>
              <w:right w:val="single" w:sz="6" w:space="0" w:color="auto"/>
            </w:tcBorders>
            <w:shd w:val="clear" w:color="auto" w:fill="F3F3F3"/>
          </w:tcPr>
          <w:p w14:paraId="29EA2470" w14:textId="77777777" w:rsidR="00EA50B9" w:rsidRPr="00620688" w:rsidRDefault="00EA50B9" w:rsidP="00BE3FDB">
            <w:pPr>
              <w:tabs>
                <w:tab w:val="left" w:pos="1080"/>
              </w:tabs>
              <w:spacing w:after="0" w:line="240" w:lineRule="auto"/>
              <w:jc w:val="center"/>
              <w:rPr>
                <w:rFonts w:cstheme="minorHAnsi"/>
                <w:b/>
              </w:rPr>
            </w:pPr>
            <w:r w:rsidRPr="00620688">
              <w:rPr>
                <w:rFonts w:cstheme="minorHAnsi"/>
                <w:b/>
              </w:rPr>
              <w:t>Key action(s)</w:t>
            </w:r>
          </w:p>
        </w:tc>
        <w:tc>
          <w:tcPr>
            <w:tcW w:w="1080" w:type="dxa"/>
            <w:gridSpan w:val="5"/>
            <w:vMerge w:val="restart"/>
            <w:tcBorders>
              <w:top w:val="single" w:sz="6" w:space="0" w:color="auto"/>
              <w:left w:val="single" w:sz="6" w:space="0" w:color="auto"/>
              <w:bottom w:val="single" w:sz="6" w:space="0" w:color="auto"/>
              <w:right w:val="single" w:sz="6" w:space="0" w:color="auto"/>
            </w:tcBorders>
            <w:shd w:val="clear" w:color="auto" w:fill="F3F3F3"/>
          </w:tcPr>
          <w:p w14:paraId="1684A572" w14:textId="77777777" w:rsidR="00EA50B9" w:rsidRPr="00620688" w:rsidRDefault="00EA50B9" w:rsidP="00BE3FDB">
            <w:pPr>
              <w:tabs>
                <w:tab w:val="left" w:pos="1080"/>
              </w:tabs>
              <w:spacing w:after="0" w:line="240" w:lineRule="auto"/>
              <w:jc w:val="center"/>
              <w:rPr>
                <w:rFonts w:cstheme="minorHAnsi"/>
                <w:b/>
              </w:rPr>
            </w:pPr>
            <w:r w:rsidRPr="00620688">
              <w:rPr>
                <w:rFonts w:cstheme="minorHAnsi"/>
                <w:b/>
              </w:rPr>
              <w:t>Time frame</w:t>
            </w:r>
          </w:p>
        </w:tc>
        <w:tc>
          <w:tcPr>
            <w:tcW w:w="1318" w:type="dxa"/>
            <w:gridSpan w:val="3"/>
            <w:vMerge w:val="restart"/>
            <w:tcBorders>
              <w:top w:val="single" w:sz="6" w:space="0" w:color="auto"/>
              <w:left w:val="single" w:sz="6" w:space="0" w:color="auto"/>
              <w:bottom w:val="single" w:sz="6" w:space="0" w:color="auto"/>
              <w:right w:val="single" w:sz="6" w:space="0" w:color="auto"/>
            </w:tcBorders>
            <w:shd w:val="clear" w:color="auto" w:fill="F3F3F3"/>
          </w:tcPr>
          <w:p w14:paraId="79CBC833" w14:textId="77777777" w:rsidR="00EA50B9" w:rsidRPr="00620688" w:rsidRDefault="00EA50B9" w:rsidP="00BE3FDB">
            <w:pPr>
              <w:tabs>
                <w:tab w:val="left" w:pos="1080"/>
              </w:tabs>
              <w:spacing w:after="0" w:line="240" w:lineRule="auto"/>
              <w:jc w:val="center"/>
              <w:rPr>
                <w:rFonts w:cstheme="minorHAnsi"/>
                <w:b/>
              </w:rPr>
            </w:pPr>
            <w:r w:rsidRPr="00620688">
              <w:rPr>
                <w:rFonts w:cstheme="minorHAnsi"/>
                <w:b/>
              </w:rPr>
              <w:t>Responsible unit(s)</w:t>
            </w:r>
          </w:p>
        </w:tc>
        <w:tc>
          <w:tcPr>
            <w:tcW w:w="6279" w:type="dxa"/>
            <w:gridSpan w:val="12"/>
            <w:tcBorders>
              <w:top w:val="single" w:sz="6" w:space="0" w:color="auto"/>
              <w:left w:val="single" w:sz="6" w:space="0" w:color="auto"/>
              <w:bottom w:val="single" w:sz="6" w:space="0" w:color="auto"/>
            </w:tcBorders>
            <w:shd w:val="clear" w:color="auto" w:fill="F3F3F3"/>
          </w:tcPr>
          <w:p w14:paraId="19CC38CD" w14:textId="77777777" w:rsidR="00EA50B9" w:rsidRPr="00620688" w:rsidRDefault="00EA50B9" w:rsidP="00BE3FDB">
            <w:pPr>
              <w:tabs>
                <w:tab w:val="left" w:pos="1080"/>
              </w:tabs>
              <w:spacing w:after="0" w:line="240" w:lineRule="auto"/>
              <w:jc w:val="center"/>
              <w:rPr>
                <w:rFonts w:cstheme="minorHAnsi"/>
                <w:b/>
              </w:rPr>
            </w:pPr>
            <w:r w:rsidRPr="00620688">
              <w:rPr>
                <w:rFonts w:cstheme="minorHAnsi"/>
                <w:b/>
              </w:rPr>
              <w:t>Tracking</w:t>
            </w:r>
          </w:p>
        </w:tc>
      </w:tr>
      <w:tr w:rsidR="00CE5D9C" w:rsidRPr="00620688" w14:paraId="2D3821C6" w14:textId="77777777" w:rsidTr="00EC17DE">
        <w:tblPrEx>
          <w:tblBorders>
            <w:insideH w:val="none" w:sz="0" w:space="0" w:color="auto"/>
            <w:insideV w:val="none" w:sz="0" w:space="0" w:color="auto"/>
          </w:tblBorders>
        </w:tblPrEx>
        <w:trPr>
          <w:trHeight w:val="192"/>
        </w:trPr>
        <w:tc>
          <w:tcPr>
            <w:tcW w:w="5880" w:type="dxa"/>
            <w:gridSpan w:val="3"/>
            <w:vMerge/>
            <w:tcBorders>
              <w:top w:val="single" w:sz="6" w:space="0" w:color="auto"/>
              <w:bottom w:val="single" w:sz="6" w:space="0" w:color="auto"/>
              <w:right w:val="single" w:sz="6" w:space="0" w:color="auto"/>
            </w:tcBorders>
            <w:shd w:val="clear" w:color="auto" w:fill="F3F3F3"/>
          </w:tcPr>
          <w:p w14:paraId="3D40B3A7" w14:textId="77777777" w:rsidR="00EA50B9" w:rsidRPr="00620688" w:rsidRDefault="00EA50B9" w:rsidP="00BE3FDB">
            <w:pPr>
              <w:tabs>
                <w:tab w:val="left" w:pos="1080"/>
              </w:tabs>
              <w:spacing w:after="0" w:line="240" w:lineRule="auto"/>
              <w:rPr>
                <w:rFonts w:cstheme="minorHAnsi"/>
              </w:rPr>
            </w:pPr>
          </w:p>
        </w:tc>
        <w:tc>
          <w:tcPr>
            <w:tcW w:w="1080" w:type="dxa"/>
            <w:gridSpan w:val="5"/>
            <w:vMerge/>
            <w:tcBorders>
              <w:top w:val="single" w:sz="6" w:space="0" w:color="auto"/>
              <w:left w:val="single" w:sz="6" w:space="0" w:color="auto"/>
              <w:bottom w:val="single" w:sz="6" w:space="0" w:color="auto"/>
              <w:right w:val="single" w:sz="6" w:space="0" w:color="auto"/>
            </w:tcBorders>
            <w:shd w:val="clear" w:color="auto" w:fill="F3F3F3"/>
          </w:tcPr>
          <w:p w14:paraId="7638E734" w14:textId="77777777" w:rsidR="00EA50B9" w:rsidRPr="00620688" w:rsidRDefault="00EA50B9" w:rsidP="00BE3FDB">
            <w:pPr>
              <w:tabs>
                <w:tab w:val="left" w:pos="1080"/>
              </w:tabs>
              <w:spacing w:after="0" w:line="240" w:lineRule="auto"/>
              <w:rPr>
                <w:rFonts w:cstheme="minorHAnsi"/>
                <w:b/>
              </w:rPr>
            </w:pPr>
          </w:p>
        </w:tc>
        <w:tc>
          <w:tcPr>
            <w:tcW w:w="1318" w:type="dxa"/>
            <w:gridSpan w:val="3"/>
            <w:vMerge/>
            <w:tcBorders>
              <w:top w:val="single" w:sz="6" w:space="0" w:color="auto"/>
              <w:left w:val="single" w:sz="6" w:space="0" w:color="auto"/>
              <w:bottom w:val="single" w:sz="6" w:space="0" w:color="auto"/>
              <w:right w:val="single" w:sz="6" w:space="0" w:color="auto"/>
            </w:tcBorders>
            <w:shd w:val="clear" w:color="auto" w:fill="F3F3F3"/>
          </w:tcPr>
          <w:p w14:paraId="000AB86C" w14:textId="77777777" w:rsidR="00EA50B9" w:rsidRPr="00620688" w:rsidRDefault="00EA50B9" w:rsidP="00BE3FDB">
            <w:pPr>
              <w:tabs>
                <w:tab w:val="left" w:pos="1080"/>
              </w:tabs>
              <w:spacing w:after="0" w:line="240" w:lineRule="auto"/>
              <w:rPr>
                <w:rFonts w:cstheme="minorHAnsi"/>
                <w:b/>
              </w:rPr>
            </w:pPr>
          </w:p>
        </w:tc>
        <w:tc>
          <w:tcPr>
            <w:tcW w:w="1796" w:type="dxa"/>
            <w:gridSpan w:val="9"/>
            <w:tcBorders>
              <w:top w:val="single" w:sz="6" w:space="0" w:color="auto"/>
              <w:left w:val="single" w:sz="6" w:space="0" w:color="auto"/>
              <w:bottom w:val="single" w:sz="6" w:space="0" w:color="auto"/>
              <w:right w:val="single" w:sz="6" w:space="0" w:color="auto"/>
            </w:tcBorders>
          </w:tcPr>
          <w:p w14:paraId="3651A488" w14:textId="77777777" w:rsidR="00EA50B9" w:rsidRPr="00620688" w:rsidRDefault="00EA50B9" w:rsidP="00BE3FDB">
            <w:pPr>
              <w:tabs>
                <w:tab w:val="left" w:pos="1080"/>
              </w:tabs>
              <w:spacing w:after="0" w:line="240" w:lineRule="auto"/>
              <w:jc w:val="center"/>
              <w:rPr>
                <w:rFonts w:cstheme="minorHAnsi"/>
                <w:b/>
              </w:rPr>
            </w:pPr>
            <w:r w:rsidRPr="00620688">
              <w:rPr>
                <w:rFonts w:cstheme="minorHAnsi"/>
                <w:b/>
              </w:rPr>
              <w:t>Comments</w:t>
            </w:r>
          </w:p>
        </w:tc>
        <w:tc>
          <w:tcPr>
            <w:tcW w:w="4483" w:type="dxa"/>
            <w:gridSpan w:val="3"/>
            <w:tcBorders>
              <w:top w:val="single" w:sz="6" w:space="0" w:color="auto"/>
              <w:left w:val="single" w:sz="6" w:space="0" w:color="auto"/>
              <w:bottom w:val="single" w:sz="6" w:space="0" w:color="auto"/>
            </w:tcBorders>
          </w:tcPr>
          <w:p w14:paraId="7521D011" w14:textId="77777777" w:rsidR="00EA50B9" w:rsidRPr="00620688" w:rsidRDefault="00EA50B9" w:rsidP="00BE3FDB">
            <w:pPr>
              <w:tabs>
                <w:tab w:val="left" w:pos="1080"/>
              </w:tabs>
              <w:spacing w:after="0" w:line="240" w:lineRule="auto"/>
              <w:jc w:val="center"/>
              <w:rPr>
                <w:rFonts w:cstheme="minorHAnsi"/>
                <w:b/>
              </w:rPr>
            </w:pPr>
            <w:r w:rsidRPr="00620688">
              <w:rPr>
                <w:rFonts w:cstheme="minorHAnsi"/>
                <w:b/>
              </w:rPr>
              <w:t>Status</w:t>
            </w:r>
          </w:p>
        </w:tc>
      </w:tr>
      <w:tr w:rsidR="00EA50B9" w:rsidRPr="00620688" w14:paraId="1DFDEBBF" w14:textId="77777777" w:rsidTr="00EC17DE">
        <w:tblPrEx>
          <w:tblBorders>
            <w:insideH w:val="none" w:sz="0" w:space="0" w:color="auto"/>
            <w:insideV w:val="none" w:sz="0" w:space="0" w:color="auto"/>
          </w:tblBorders>
        </w:tblPrEx>
        <w:tc>
          <w:tcPr>
            <w:tcW w:w="5880" w:type="dxa"/>
            <w:gridSpan w:val="3"/>
            <w:tcBorders>
              <w:top w:val="single" w:sz="6" w:space="0" w:color="auto"/>
              <w:bottom w:val="single" w:sz="6" w:space="0" w:color="auto"/>
              <w:right w:val="single" w:sz="6" w:space="0" w:color="auto"/>
            </w:tcBorders>
          </w:tcPr>
          <w:p w14:paraId="5D747DAC" w14:textId="5316CB17" w:rsidR="00EA50B9" w:rsidRPr="00620688" w:rsidRDefault="000B2165" w:rsidP="00BE3FDB">
            <w:pPr>
              <w:tabs>
                <w:tab w:val="left" w:pos="1080"/>
              </w:tabs>
              <w:spacing w:after="0" w:line="240" w:lineRule="auto"/>
              <w:rPr>
                <w:rFonts w:cstheme="minorHAnsi"/>
              </w:rPr>
            </w:pPr>
            <w:r w:rsidRPr="00620688">
              <w:rPr>
                <w:rFonts w:cstheme="minorHAnsi"/>
              </w:rPr>
              <w:t>6</w:t>
            </w:r>
            <w:r w:rsidR="00EA50B9" w:rsidRPr="00620688">
              <w:rPr>
                <w:rFonts w:cstheme="minorHAnsi"/>
              </w:rPr>
              <w:t xml:space="preserve">.1 </w:t>
            </w:r>
            <w:r w:rsidR="00EC17DE">
              <w:rPr>
                <w:rFonts w:cstheme="minorHAnsi"/>
              </w:rPr>
              <w:t>Conduct a</w:t>
            </w:r>
            <w:r w:rsidR="00EC17DE" w:rsidRPr="00620688">
              <w:rPr>
                <w:rFonts w:cstheme="minorHAnsi"/>
              </w:rPr>
              <w:t xml:space="preserve"> gender analysis to incorporate gender focused issues and activities in the implementation of the GCF NAP Project</w:t>
            </w:r>
          </w:p>
        </w:tc>
        <w:tc>
          <w:tcPr>
            <w:tcW w:w="1080" w:type="dxa"/>
            <w:gridSpan w:val="5"/>
            <w:tcBorders>
              <w:top w:val="single" w:sz="6" w:space="0" w:color="auto"/>
              <w:left w:val="single" w:sz="6" w:space="0" w:color="auto"/>
              <w:bottom w:val="single" w:sz="6" w:space="0" w:color="auto"/>
              <w:right w:val="single" w:sz="6" w:space="0" w:color="auto"/>
            </w:tcBorders>
          </w:tcPr>
          <w:p w14:paraId="59061A08" w14:textId="711D65CB" w:rsidR="00EA50B9" w:rsidRPr="00620688" w:rsidRDefault="00EC17DE" w:rsidP="00BE3FDB">
            <w:pPr>
              <w:tabs>
                <w:tab w:val="left" w:pos="1080"/>
              </w:tabs>
              <w:spacing w:after="0" w:line="240" w:lineRule="auto"/>
              <w:jc w:val="center"/>
              <w:rPr>
                <w:rFonts w:cstheme="minorHAnsi"/>
              </w:rPr>
            </w:pPr>
            <w:r>
              <w:rPr>
                <w:rFonts w:cstheme="minorHAnsi"/>
                <w:lang w:val="en-US"/>
              </w:rPr>
              <w:t>31 July 2022</w:t>
            </w:r>
          </w:p>
        </w:tc>
        <w:tc>
          <w:tcPr>
            <w:tcW w:w="1318" w:type="dxa"/>
            <w:gridSpan w:val="3"/>
            <w:tcBorders>
              <w:top w:val="single" w:sz="6" w:space="0" w:color="auto"/>
              <w:left w:val="single" w:sz="6" w:space="0" w:color="auto"/>
              <w:bottom w:val="single" w:sz="6" w:space="0" w:color="auto"/>
              <w:right w:val="single" w:sz="6" w:space="0" w:color="auto"/>
            </w:tcBorders>
          </w:tcPr>
          <w:p w14:paraId="5A2189FC" w14:textId="239CAF90" w:rsidR="00EA50B9" w:rsidRPr="00620688" w:rsidRDefault="00BE3FDB" w:rsidP="00BE3FDB">
            <w:pPr>
              <w:tabs>
                <w:tab w:val="left" w:pos="1080"/>
              </w:tabs>
              <w:spacing w:after="0" w:line="240" w:lineRule="auto"/>
              <w:jc w:val="center"/>
              <w:rPr>
                <w:rFonts w:cstheme="minorHAnsi"/>
              </w:rPr>
            </w:pPr>
            <w:r w:rsidRPr="00620688">
              <w:rPr>
                <w:rFonts w:cstheme="minorHAnsi"/>
                <w:lang w:val="en-US"/>
              </w:rPr>
              <w:t>UNDP</w:t>
            </w:r>
            <w:r w:rsidR="00EC17DE">
              <w:rPr>
                <w:rFonts w:cstheme="minorHAnsi"/>
                <w:lang w:val="en-US"/>
              </w:rPr>
              <w:t>, NAP Project team</w:t>
            </w:r>
          </w:p>
        </w:tc>
        <w:tc>
          <w:tcPr>
            <w:tcW w:w="1796" w:type="dxa"/>
            <w:gridSpan w:val="9"/>
            <w:tcBorders>
              <w:top w:val="single" w:sz="6" w:space="0" w:color="auto"/>
              <w:left w:val="single" w:sz="6" w:space="0" w:color="auto"/>
              <w:bottom w:val="single" w:sz="6" w:space="0" w:color="auto"/>
              <w:right w:val="single" w:sz="6" w:space="0" w:color="auto"/>
            </w:tcBorders>
          </w:tcPr>
          <w:p w14:paraId="53B763A9" w14:textId="534AA15E" w:rsidR="00EA50B9" w:rsidRPr="00620688" w:rsidRDefault="00EC17DE" w:rsidP="00BE3FDB">
            <w:pPr>
              <w:tabs>
                <w:tab w:val="left" w:pos="1080"/>
              </w:tabs>
              <w:spacing w:after="0" w:line="240" w:lineRule="auto"/>
              <w:rPr>
                <w:rFonts w:cstheme="minorHAnsi"/>
              </w:rPr>
            </w:pPr>
            <w:r>
              <w:rPr>
                <w:rFonts w:cstheme="minorHAnsi"/>
              </w:rPr>
              <w:t>I</w:t>
            </w:r>
            <w:r w:rsidR="005B093C" w:rsidRPr="00620688">
              <w:rPr>
                <w:rFonts w:cstheme="minorHAnsi"/>
              </w:rPr>
              <w:t xml:space="preserve">nitiated </w:t>
            </w:r>
          </w:p>
        </w:tc>
        <w:tc>
          <w:tcPr>
            <w:tcW w:w="4483" w:type="dxa"/>
            <w:gridSpan w:val="3"/>
            <w:tcBorders>
              <w:top w:val="single" w:sz="6" w:space="0" w:color="auto"/>
              <w:left w:val="single" w:sz="6" w:space="0" w:color="auto"/>
              <w:bottom w:val="single" w:sz="6" w:space="0" w:color="auto"/>
            </w:tcBorders>
          </w:tcPr>
          <w:p w14:paraId="3D771F70" w14:textId="13603709" w:rsidR="00EA50B9" w:rsidRPr="00620688" w:rsidRDefault="00EC17DE" w:rsidP="00BE3FDB">
            <w:pPr>
              <w:tabs>
                <w:tab w:val="left" w:pos="1080"/>
              </w:tabs>
              <w:spacing w:after="0" w:line="240" w:lineRule="auto"/>
              <w:rPr>
                <w:rFonts w:cstheme="minorHAnsi"/>
              </w:rPr>
            </w:pPr>
            <w:r>
              <w:rPr>
                <w:rFonts w:cstheme="minorHAnsi"/>
                <w:lang w:val="en-US"/>
              </w:rPr>
              <w:t xml:space="preserve">The Terms of Reference has been developed by the GCF NAP team for recruitment of national gender consultant to conduct a gender analysis. The position has been announced and the assignment is expected to be conducted in My-June 2022. </w:t>
            </w:r>
          </w:p>
        </w:tc>
      </w:tr>
    </w:tbl>
    <w:p w14:paraId="0941F8BC" w14:textId="77777777" w:rsidR="00EA50B9" w:rsidRPr="00620688" w:rsidRDefault="00EA50B9">
      <w:pPr>
        <w:rPr>
          <w:rFonts w:cstheme="minorHAnsi"/>
        </w:rPr>
      </w:pPr>
    </w:p>
    <w:sectPr w:rsidR="00EA50B9" w:rsidRPr="00620688" w:rsidSect="00D0560B">
      <w:pgSz w:w="16838" w:h="11906"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E8DA" w14:textId="77777777" w:rsidR="002241FB" w:rsidRDefault="002241FB" w:rsidP="00D0560B">
      <w:pPr>
        <w:spacing w:after="0" w:line="240" w:lineRule="auto"/>
      </w:pPr>
      <w:r>
        <w:separator/>
      </w:r>
    </w:p>
  </w:endnote>
  <w:endnote w:type="continuationSeparator" w:id="0">
    <w:p w14:paraId="33B9B9D7" w14:textId="77777777" w:rsidR="002241FB" w:rsidRDefault="002241FB" w:rsidP="00D0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C1AA" w14:textId="77777777" w:rsidR="002241FB" w:rsidRDefault="002241FB" w:rsidP="00D0560B">
      <w:pPr>
        <w:spacing w:after="0" w:line="240" w:lineRule="auto"/>
      </w:pPr>
      <w:r>
        <w:separator/>
      </w:r>
    </w:p>
  </w:footnote>
  <w:footnote w:type="continuationSeparator" w:id="0">
    <w:p w14:paraId="1E873966" w14:textId="77777777" w:rsidR="002241FB" w:rsidRDefault="002241FB" w:rsidP="00D0560B">
      <w:pPr>
        <w:spacing w:after="0" w:line="240" w:lineRule="auto"/>
      </w:pPr>
      <w:r>
        <w:continuationSeparator/>
      </w:r>
    </w:p>
  </w:footnote>
  <w:footnote w:id="1">
    <w:p w14:paraId="76C4B810" w14:textId="77777777" w:rsidR="00D0560B" w:rsidRPr="00682E04" w:rsidRDefault="00D0560B" w:rsidP="00D0560B">
      <w:pPr>
        <w:pStyle w:val="FootnoteText"/>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2">
    <w:p w14:paraId="68DD1B65" w14:textId="77777777" w:rsidR="00D0560B" w:rsidRPr="00060E35" w:rsidRDefault="00D0560B" w:rsidP="00D0560B">
      <w:pPr>
        <w:pStyle w:val="FootnoteText"/>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Pr>
          <w:rFonts w:ascii="Calibri" w:hAnsi="Calibri"/>
          <w:sz w:val="18"/>
          <w:szCs w:val="18"/>
        </w:rPr>
        <w:t>S</w:t>
      </w:r>
      <w:r w:rsidRPr="00DF316C">
        <w:rPr>
          <w:rFonts w:ascii="Calibri" w:hAnsi="Calibri"/>
          <w:sz w:val="18"/>
          <w:szCs w:val="18"/>
        </w:rPr>
        <w:t>tatus of implementation is tracked electronically in the Evaluation Resource Centre</w:t>
      </w:r>
      <w:r>
        <w:rPr>
          <w:rFonts w:ascii="Calibri" w:hAnsi="Calibri"/>
          <w:sz w:val="18"/>
          <w:szCs w:val="18"/>
        </w:rPr>
        <w:t xml:space="preserve"> </w:t>
      </w:r>
      <w:r w:rsidRPr="00DF316C">
        <w:rPr>
          <w:rFonts w:ascii="Calibri" w:hAnsi="Calibri"/>
          <w:sz w:val="18"/>
          <w:szCs w:val="18"/>
        </w:rPr>
        <w:t>(ERC).</w:t>
      </w:r>
    </w:p>
  </w:footnote>
  <w:footnote w:id="3">
    <w:p w14:paraId="4B0381A9" w14:textId="77777777" w:rsidR="00451CC1" w:rsidRPr="00DF316C" w:rsidRDefault="00451CC1" w:rsidP="00451CC1">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w:t>
      </w:r>
      <w:r>
        <w:rPr>
          <w:rFonts w:ascii="Calibri" w:hAnsi="Calibri"/>
          <w:sz w:val="18"/>
          <w:szCs w:val="18"/>
        </w:rPr>
        <w:t xml:space="preserve">elect one: Not initiated, Initiated, </w:t>
      </w:r>
      <w:r w:rsidRPr="00DF316C">
        <w:rPr>
          <w:rFonts w:ascii="Calibri" w:hAnsi="Calibri"/>
          <w:sz w:val="18"/>
          <w:szCs w:val="18"/>
        </w:rPr>
        <w:t xml:space="preserve">Completed, </w:t>
      </w:r>
      <w:r>
        <w:rPr>
          <w:rFonts w:ascii="Calibri" w:hAnsi="Calibri"/>
          <w:sz w:val="18"/>
          <w:szCs w:val="18"/>
        </w:rPr>
        <w:t>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504"/>
    <w:multiLevelType w:val="hybridMultilevel"/>
    <w:tmpl w:val="7E4EDF5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CC419F6"/>
    <w:multiLevelType w:val="hybridMultilevel"/>
    <w:tmpl w:val="6C5ED18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07A2FDC"/>
    <w:multiLevelType w:val="hybridMultilevel"/>
    <w:tmpl w:val="012A19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B"/>
    <w:rsid w:val="00006692"/>
    <w:rsid w:val="000262F4"/>
    <w:rsid w:val="00055A54"/>
    <w:rsid w:val="00094C01"/>
    <w:rsid w:val="00094F1B"/>
    <w:rsid w:val="000B2165"/>
    <w:rsid w:val="000C2F63"/>
    <w:rsid w:val="000D643B"/>
    <w:rsid w:val="000E3C2A"/>
    <w:rsid w:val="000F75FC"/>
    <w:rsid w:val="001347FD"/>
    <w:rsid w:val="00137DA1"/>
    <w:rsid w:val="00145767"/>
    <w:rsid w:val="00155004"/>
    <w:rsid w:val="0016299F"/>
    <w:rsid w:val="00174AE5"/>
    <w:rsid w:val="001B2793"/>
    <w:rsid w:val="0020500A"/>
    <w:rsid w:val="0022101B"/>
    <w:rsid w:val="002241FB"/>
    <w:rsid w:val="00262FBB"/>
    <w:rsid w:val="002658D8"/>
    <w:rsid w:val="002921B0"/>
    <w:rsid w:val="002A0D2D"/>
    <w:rsid w:val="002B0C4B"/>
    <w:rsid w:val="002F120A"/>
    <w:rsid w:val="002F2AA9"/>
    <w:rsid w:val="003A72B1"/>
    <w:rsid w:val="003D216C"/>
    <w:rsid w:val="00415181"/>
    <w:rsid w:val="00433B6E"/>
    <w:rsid w:val="004372C7"/>
    <w:rsid w:val="00451CC1"/>
    <w:rsid w:val="0052702F"/>
    <w:rsid w:val="00582B58"/>
    <w:rsid w:val="00585A41"/>
    <w:rsid w:val="005B093C"/>
    <w:rsid w:val="005D1A5E"/>
    <w:rsid w:val="005D27AD"/>
    <w:rsid w:val="005D6F88"/>
    <w:rsid w:val="00620688"/>
    <w:rsid w:val="00642CD7"/>
    <w:rsid w:val="00662178"/>
    <w:rsid w:val="007276C7"/>
    <w:rsid w:val="007625F6"/>
    <w:rsid w:val="007F774F"/>
    <w:rsid w:val="0089007F"/>
    <w:rsid w:val="008A554B"/>
    <w:rsid w:val="008D6520"/>
    <w:rsid w:val="00905A65"/>
    <w:rsid w:val="00923BD5"/>
    <w:rsid w:val="00935CC6"/>
    <w:rsid w:val="00946066"/>
    <w:rsid w:val="00954A86"/>
    <w:rsid w:val="00970494"/>
    <w:rsid w:val="00996B40"/>
    <w:rsid w:val="009A01AA"/>
    <w:rsid w:val="009B0DF4"/>
    <w:rsid w:val="00A00F47"/>
    <w:rsid w:val="00A652F7"/>
    <w:rsid w:val="00AB0E5C"/>
    <w:rsid w:val="00AB2DCD"/>
    <w:rsid w:val="00B13359"/>
    <w:rsid w:val="00B702F5"/>
    <w:rsid w:val="00B848B7"/>
    <w:rsid w:val="00BA5E27"/>
    <w:rsid w:val="00BE3FDB"/>
    <w:rsid w:val="00C65478"/>
    <w:rsid w:val="00C9355D"/>
    <w:rsid w:val="00CA5825"/>
    <w:rsid w:val="00CB425B"/>
    <w:rsid w:val="00CD0578"/>
    <w:rsid w:val="00CE5D9C"/>
    <w:rsid w:val="00D0560B"/>
    <w:rsid w:val="00D76F6F"/>
    <w:rsid w:val="00D81857"/>
    <w:rsid w:val="00DA563B"/>
    <w:rsid w:val="00DB009F"/>
    <w:rsid w:val="00E034EE"/>
    <w:rsid w:val="00E072B0"/>
    <w:rsid w:val="00EA50B9"/>
    <w:rsid w:val="00EC17DE"/>
    <w:rsid w:val="00EF5E2D"/>
    <w:rsid w:val="00F11822"/>
    <w:rsid w:val="00F24873"/>
    <w:rsid w:val="00F34863"/>
    <w:rsid w:val="00FB2368"/>
    <w:rsid w:val="00FE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3C67"/>
  <w15:chartTrackingRefBased/>
  <w15:docId w15:val="{C753E5B7-1971-449C-B385-6FEF7624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0B"/>
    <w:pPr>
      <w:spacing w:after="200" w:line="276" w:lineRule="auto"/>
    </w:pPr>
    <w:rPr>
      <w:lang w:val="en-CA"/>
    </w:rPr>
  </w:style>
  <w:style w:type="paragraph" w:styleId="Heading1">
    <w:name w:val="heading 1"/>
    <w:basedOn w:val="Normal"/>
    <w:next w:val="Normal"/>
    <w:link w:val="Heading1Char"/>
    <w:uiPriority w:val="9"/>
    <w:qFormat/>
    <w:rsid w:val="00D056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451C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0B"/>
    <w:rPr>
      <w:rFonts w:asciiTheme="majorHAnsi" w:eastAsiaTheme="majorEastAsia" w:hAnsiTheme="majorHAnsi" w:cstheme="majorBidi"/>
      <w:b/>
      <w:bCs/>
      <w:color w:val="2F5496" w:themeColor="accent1" w:themeShade="BF"/>
      <w:sz w:val="28"/>
      <w:szCs w:val="28"/>
      <w:lang w:val="en-CA"/>
    </w:r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Font: Geneva 9,f,fn"/>
    <w:basedOn w:val="Normal"/>
    <w:link w:val="FootnoteTextChar"/>
    <w:uiPriority w:val="99"/>
    <w:unhideWhenUsed/>
    <w:qFormat/>
    <w:rsid w:val="00D0560B"/>
    <w:pPr>
      <w:spacing w:after="0" w:line="240" w:lineRule="auto"/>
    </w:pPr>
    <w:rPr>
      <w:sz w:val="20"/>
      <w:szCs w:val="20"/>
    </w:rPr>
  </w:style>
  <w:style w:type="character" w:customStyle="1" w:styleId="FootnoteTextChar">
    <w:name w:val="Footnote Text Char"/>
    <w:aliases w:val="Geneva 9 Char Char,Font: Geneva 9 Char Char,Boston 10 Char Char,f Char Char,otnote Text Char Char,Footnote Char Char,ft Char Char,single space Char Char,Footnote Text Char Char Char Char Char Char,Footnote Text Char Char Char1 Char"/>
    <w:basedOn w:val="DefaultParagraphFont"/>
    <w:link w:val="FootnoteText"/>
    <w:uiPriority w:val="99"/>
    <w:rsid w:val="00D0560B"/>
    <w:rPr>
      <w:sz w:val="20"/>
      <w:szCs w:val="20"/>
      <w:lang w:val="en-CA"/>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note TESI"/>
    <w:basedOn w:val="DefaultParagraphFont"/>
    <w:link w:val="BVIfnrCarCar"/>
    <w:uiPriority w:val="99"/>
    <w:unhideWhenUsed/>
    <w:qFormat/>
    <w:rsid w:val="00D0560B"/>
    <w:rPr>
      <w:vertAlign w:val="superscript"/>
    </w:rPr>
  </w:style>
  <w:style w:type="paragraph" w:customStyle="1" w:styleId="BVIfnrCarCar">
    <w:name w:val="BVI fnr Car Car"/>
    <w:aliases w:val="BVI fnr Car,BVI fnr Car Car Car Car, BVI fnr, BVI fnr Car Car, BVI fnr Car Car Car Car"/>
    <w:basedOn w:val="Normal"/>
    <w:link w:val="FootnoteReference"/>
    <w:uiPriority w:val="99"/>
    <w:rsid w:val="00D0560B"/>
    <w:pPr>
      <w:spacing w:after="160" w:line="240" w:lineRule="exact"/>
    </w:pPr>
    <w:rPr>
      <w:vertAlign w:val="superscript"/>
      <w:lang w:val="en-GB"/>
    </w:rPr>
  </w:style>
  <w:style w:type="paragraph" w:styleId="ListParagraph">
    <w:name w:val="List Paragraph"/>
    <w:aliases w:val="List Paragraph1,Left Bullet L1,Bullets,NumberedParas,List Paragraph (numbered (a)),WB Para,List Square,маркированный,Akapit z listą BS,Абзац списка1,Lapis Bulleted List,List 100s,References,WB List Paragraph,Dot pt,F5 List Paragraph,L"/>
    <w:basedOn w:val="Normal"/>
    <w:link w:val="ListParagraphChar"/>
    <w:uiPriority w:val="34"/>
    <w:qFormat/>
    <w:rsid w:val="00D0560B"/>
    <w:pPr>
      <w:ind w:left="720"/>
      <w:contextualSpacing/>
    </w:pPr>
  </w:style>
  <w:style w:type="character" w:customStyle="1" w:styleId="ListParagraphChar">
    <w:name w:val="List Paragraph Char"/>
    <w:aliases w:val="List Paragraph1 Char,Left Bullet L1 Char,Bullets Char,NumberedParas Char,List Paragraph (numbered (a)) Char,WB Para Char,List Square Char,маркированный Char,Akapit z listą BS Char,Абзац списка1 Char,Lapis Bulleted List Char,L Char"/>
    <w:link w:val="ListParagraph"/>
    <w:uiPriority w:val="34"/>
    <w:qFormat/>
    <w:rsid w:val="00D0560B"/>
    <w:rPr>
      <w:lang w:val="en-CA"/>
    </w:rPr>
  </w:style>
  <w:style w:type="paragraph" w:customStyle="1" w:styleId="CarCarChar">
    <w:name w:val="Car Car Char"/>
    <w:basedOn w:val="Heading2"/>
    <w:rsid w:val="00451CC1"/>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Heading2Char">
    <w:name w:val="Heading 2 Char"/>
    <w:basedOn w:val="DefaultParagraphFont"/>
    <w:link w:val="Heading2"/>
    <w:uiPriority w:val="9"/>
    <w:semiHidden/>
    <w:rsid w:val="00451CC1"/>
    <w:rPr>
      <w:rFonts w:asciiTheme="majorHAnsi" w:eastAsiaTheme="majorEastAsia" w:hAnsiTheme="majorHAnsi" w:cstheme="majorBidi"/>
      <w:color w:val="2F5496" w:themeColor="accent1" w:themeShade="BF"/>
      <w:sz w:val="26"/>
      <w:szCs w:val="26"/>
      <w:lang w:val="en-CA"/>
    </w:rPr>
  </w:style>
  <w:style w:type="character" w:customStyle="1" w:styleId="cf01">
    <w:name w:val="cf01"/>
    <w:basedOn w:val="DefaultParagraphFont"/>
    <w:rsid w:val="005D1A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2022-04-15T10:00:00+00:00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2016-05-01T04:00:00+00:00</Document_x0020_Coverage_x0020_Period_x0020_Start_x0020_Date>
    <Document_x0020_Coverage_x0020_Period_x0020_End_x0020_Date xmlns="f1161f5b-24a3-4c2d-bc81-44cb9325e8ee">2022-03-31T04:00:00+00:00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1114</Value>
      <Value>296</Value>
      <Value>1670</Value>
      <Value>1107</Value>
      <Value>1</Value>
    </TaxCatchAll>
    <c4e2ab2cc9354bbf9064eeb465a566ea xmlns="1ed4137b-41b2-488b-8250-6d369ec27664">
      <Terms xmlns="http://schemas.microsoft.com/office/infopath/2007/PartnerControls"/>
    </c4e2ab2cc9354bbf9064eeb465a566ea>
    <UndpProjectNo xmlns="1ed4137b-41b2-488b-8250-6d369ec27664">00092855</UndpProjectNo>
    <UndpDocStatus xmlns="1ed4137b-41b2-488b-8250-6d369ec27664">Final</UndpDocStatus>
    <Outcome1 xmlns="f1161f5b-24a3-4c2d-bc81-44cb9325e8ee">00097376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ATLASPDC-4-159158</_dlc_DocId>
    <_dlc_DocIdUrl xmlns="f1161f5b-24a3-4c2d-bc81-44cb9325e8ee">
      <Url>https://info.undp.org/docs/pdc/_layouts/DocIdRedir.aspx?ID=ATLASPDC-4-159158</Url>
      <Description>ATLASPDC-4-159158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34AA250-24A5-4677-A6F1-6011816BBA0F}"/>
</file>

<file path=customXml/itemProps2.xml><?xml version="1.0" encoding="utf-8"?>
<ds:datastoreItem xmlns:ds="http://schemas.openxmlformats.org/officeDocument/2006/customXml" ds:itemID="{A53FC06A-FF12-4CC3-AA96-75017D8A39A9}"/>
</file>

<file path=customXml/itemProps3.xml><?xml version="1.0" encoding="utf-8"?>
<ds:datastoreItem xmlns:ds="http://schemas.openxmlformats.org/officeDocument/2006/customXml" ds:itemID="{2061DFF7-50E9-49D9-BBA4-A51D27839B6A}"/>
</file>

<file path=customXml/itemProps4.xml><?xml version="1.0" encoding="utf-8"?>
<ds:datastoreItem xmlns:ds="http://schemas.openxmlformats.org/officeDocument/2006/customXml" ds:itemID="{18F67667-E1A3-4A85-AF41-3EB0A27A2BEE}"/>
</file>

<file path=customXml/itemProps5.xml><?xml version="1.0" encoding="utf-8"?>
<ds:datastoreItem xmlns:ds="http://schemas.openxmlformats.org/officeDocument/2006/customXml" ds:itemID="{04E65CBB-98EE-4618-9BEE-ACEF041CB524}"/>
</file>

<file path=docProps/app.xml><?xml version="1.0" encoding="utf-8"?>
<Properties xmlns="http://schemas.openxmlformats.org/officeDocument/2006/extended-properties" xmlns:vt="http://schemas.openxmlformats.org/officeDocument/2006/docPropsVTypes">
  <Template>Normal.dotm</Template>
  <TotalTime>567</TotalTime>
  <Pages>8</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Response Plan_SCRL</dc:title>
  <dc:subject/>
  <dc:creator/>
  <cp:keywords/>
  <dc:description/>
  <cp:lastModifiedBy>Farhat Orunov</cp:lastModifiedBy>
  <cp:revision>41</cp:revision>
  <dcterms:created xsi:type="dcterms:W3CDTF">2022-02-09T10:03:00Z</dcterms:created>
  <dcterms:modified xsi:type="dcterms:W3CDTF">2022-04-06T05:12:00Z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1670;#TKM|8a730513-0bff-4437-96ef-14bf81511455</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35d893b2-6eec-4d31-988a-da70397a9186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